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jc w:val="center"/>
        <w:tblLook w:val="04A0" w:firstRow="1" w:lastRow="0" w:firstColumn="1" w:lastColumn="0" w:noHBand="0" w:noVBand="1"/>
      </w:tblPr>
      <w:tblGrid>
        <w:gridCol w:w="2798"/>
        <w:gridCol w:w="2799"/>
        <w:gridCol w:w="2799"/>
        <w:gridCol w:w="2799"/>
        <w:gridCol w:w="2799"/>
      </w:tblGrid>
      <w:tr w:rsidR="00993915" w14:paraId="20C06F38" w14:textId="77777777" w:rsidTr="00494A98">
        <w:trPr>
          <w:jc w:val="center"/>
        </w:trPr>
        <w:tc>
          <w:tcPr>
            <w:tcW w:w="2798" w:type="dxa"/>
          </w:tcPr>
          <w:p w14:paraId="64A8F458" w14:textId="25AC40FE" w:rsidR="00BD6877" w:rsidRDefault="00BD6877" w:rsidP="00612C16">
            <w:pPr>
              <w:jc w:val="center"/>
            </w:pPr>
            <w:r>
              <w:t>Lundi</w:t>
            </w:r>
            <w:r w:rsidR="00344CA7">
              <w:t xml:space="preserve"> </w:t>
            </w:r>
            <w:r w:rsidR="000B0F87">
              <w:t>9 décembre</w:t>
            </w:r>
          </w:p>
        </w:tc>
        <w:tc>
          <w:tcPr>
            <w:tcW w:w="2799" w:type="dxa"/>
          </w:tcPr>
          <w:p w14:paraId="40B2CFD3" w14:textId="646FE231" w:rsidR="00BD6877" w:rsidRDefault="00BD6877" w:rsidP="00284A40">
            <w:pPr>
              <w:jc w:val="center"/>
            </w:pPr>
            <w:r>
              <w:t>Mardi</w:t>
            </w:r>
            <w:r w:rsidR="00612C16">
              <w:t xml:space="preserve"> </w:t>
            </w:r>
            <w:r w:rsidR="000B0F87">
              <w:t>10 décembre</w:t>
            </w:r>
          </w:p>
        </w:tc>
        <w:tc>
          <w:tcPr>
            <w:tcW w:w="2799" w:type="dxa"/>
          </w:tcPr>
          <w:p w14:paraId="26DBB529" w14:textId="6EA85014" w:rsidR="00BD6877" w:rsidRDefault="00BD6877" w:rsidP="006B474E">
            <w:pPr>
              <w:jc w:val="center"/>
            </w:pPr>
            <w:r>
              <w:t>Mercredi</w:t>
            </w:r>
            <w:r w:rsidR="00284A40">
              <w:t xml:space="preserve"> </w:t>
            </w:r>
            <w:r w:rsidR="000B0F87">
              <w:t>11 décembre</w:t>
            </w:r>
          </w:p>
        </w:tc>
        <w:tc>
          <w:tcPr>
            <w:tcW w:w="2799" w:type="dxa"/>
          </w:tcPr>
          <w:p w14:paraId="55C1A1C3" w14:textId="3AF07EDD" w:rsidR="00BD6877" w:rsidRDefault="00BD6877" w:rsidP="00494A98">
            <w:pPr>
              <w:jc w:val="center"/>
            </w:pPr>
            <w:r>
              <w:t>Jeudi</w:t>
            </w:r>
            <w:r w:rsidR="00612C16">
              <w:t xml:space="preserve"> </w:t>
            </w:r>
            <w:r w:rsidR="000B0F87">
              <w:t>12 décembre</w:t>
            </w:r>
          </w:p>
        </w:tc>
        <w:tc>
          <w:tcPr>
            <w:tcW w:w="2799" w:type="dxa"/>
          </w:tcPr>
          <w:p w14:paraId="006794B4" w14:textId="3F98FCB6" w:rsidR="00BD6877" w:rsidRDefault="00BD6877" w:rsidP="006B474E">
            <w:pPr>
              <w:jc w:val="center"/>
            </w:pPr>
            <w:r>
              <w:t>Vendredi</w:t>
            </w:r>
            <w:r w:rsidR="00284A40">
              <w:t xml:space="preserve"> </w:t>
            </w:r>
            <w:r w:rsidR="000B0F87">
              <w:t>13 décembre</w:t>
            </w:r>
          </w:p>
        </w:tc>
      </w:tr>
      <w:tr w:rsidR="00993915" w14:paraId="3E8B0BAB" w14:textId="77777777" w:rsidTr="00494A98">
        <w:trPr>
          <w:jc w:val="center"/>
        </w:trPr>
        <w:tc>
          <w:tcPr>
            <w:tcW w:w="2798" w:type="dxa"/>
            <w:vAlign w:val="center"/>
          </w:tcPr>
          <w:p w14:paraId="1177892C" w14:textId="432A34E7" w:rsidR="00806BC7" w:rsidRPr="00BA0724" w:rsidRDefault="00A77349" w:rsidP="00716283">
            <w:pPr>
              <w:jc w:val="center"/>
            </w:pPr>
            <w:r w:rsidRPr="00BA0724">
              <w:t>8h30</w:t>
            </w:r>
            <w:r w:rsidR="00806BC7" w:rsidRPr="00BA0724">
              <w:t xml:space="preserve"> </w:t>
            </w:r>
          </w:p>
          <w:p w14:paraId="31D605F9" w14:textId="586EB2F4" w:rsidR="00806BC7" w:rsidRPr="00BA0724" w:rsidRDefault="00806BC7" w:rsidP="00716283">
            <w:pPr>
              <w:jc w:val="center"/>
            </w:pPr>
            <w:r w:rsidRPr="00BA0724">
              <w:t>Accueil des stagiaires</w:t>
            </w:r>
          </w:p>
          <w:p w14:paraId="29D41D53" w14:textId="01DFB1EF" w:rsidR="00962648" w:rsidRPr="00BA0724" w:rsidRDefault="00962648" w:rsidP="00716283">
            <w:pPr>
              <w:jc w:val="center"/>
            </w:pPr>
            <w:r w:rsidRPr="00BA0724">
              <w:t>9h</w:t>
            </w:r>
          </w:p>
          <w:p w14:paraId="7DB9C9A7" w14:textId="7B8BAE67" w:rsidR="00962648" w:rsidRPr="00BA0724" w:rsidRDefault="00962648" w:rsidP="00716283">
            <w:pPr>
              <w:jc w:val="center"/>
            </w:pPr>
            <w:r w:rsidRPr="00BA0724">
              <w:t>Tour de table et présentation du stage</w:t>
            </w:r>
          </w:p>
          <w:p w14:paraId="1825A375" w14:textId="76FC7D77" w:rsidR="00AD040D" w:rsidRPr="00BA0724" w:rsidRDefault="00AD040D" w:rsidP="00716283">
            <w:pPr>
              <w:jc w:val="center"/>
            </w:pPr>
          </w:p>
          <w:p w14:paraId="4896AED4" w14:textId="5EB1ADDB" w:rsidR="00806BC7" w:rsidRPr="00BA0724" w:rsidRDefault="00962648" w:rsidP="00716283">
            <w:pPr>
              <w:jc w:val="center"/>
            </w:pPr>
            <w:r w:rsidRPr="00BA0724">
              <w:t xml:space="preserve">10 </w:t>
            </w:r>
            <w:r w:rsidR="00806BC7" w:rsidRPr="00BA0724">
              <w:t>h</w:t>
            </w:r>
          </w:p>
          <w:p w14:paraId="64D27172" w14:textId="5A0AF9F2" w:rsidR="00A77349" w:rsidRDefault="004176D7" w:rsidP="00993915">
            <w:pPr>
              <w:jc w:val="center"/>
              <w:rPr>
                <w:iCs/>
              </w:rPr>
            </w:pPr>
            <w:r w:rsidRPr="00BA0724">
              <w:rPr>
                <w:iCs/>
              </w:rPr>
              <w:t>Missions et pouvoirs du bureau de conciliation et d’orientation</w:t>
            </w:r>
          </w:p>
          <w:p w14:paraId="72239393" w14:textId="77777777" w:rsidR="00BA0724" w:rsidRPr="00BA0724" w:rsidRDefault="00BA0724" w:rsidP="00993915">
            <w:pPr>
              <w:jc w:val="center"/>
              <w:rPr>
                <w:iCs/>
              </w:rPr>
            </w:pPr>
          </w:p>
          <w:p w14:paraId="405BBE59" w14:textId="1C95BCCE" w:rsidR="00806BC7" w:rsidRPr="00BA0724" w:rsidRDefault="00517E88" w:rsidP="00993915">
            <w:pPr>
              <w:jc w:val="center"/>
            </w:pPr>
            <w:r w:rsidRPr="00BA0724">
              <w:t>Sabrina Mraouahi</w:t>
            </w:r>
          </w:p>
        </w:tc>
        <w:tc>
          <w:tcPr>
            <w:tcW w:w="2799" w:type="dxa"/>
            <w:vAlign w:val="center"/>
          </w:tcPr>
          <w:p w14:paraId="1AA23739" w14:textId="4F276493" w:rsidR="00A862FB" w:rsidRDefault="00962648" w:rsidP="00716283">
            <w:pPr>
              <w:jc w:val="center"/>
            </w:pPr>
            <w:r>
              <w:t>9</w:t>
            </w:r>
            <w:r w:rsidR="00AD040D">
              <w:t>h</w:t>
            </w:r>
          </w:p>
          <w:p w14:paraId="663C0877" w14:textId="77777777" w:rsidR="00962648" w:rsidRDefault="00962648" w:rsidP="00716283">
            <w:pPr>
              <w:jc w:val="center"/>
            </w:pPr>
          </w:p>
          <w:p w14:paraId="2F491FD0" w14:textId="77777777" w:rsidR="00962648" w:rsidRDefault="00962648" w:rsidP="00962648">
            <w:pPr>
              <w:jc w:val="center"/>
            </w:pPr>
            <w:r>
              <w:t xml:space="preserve">La qualification de harcèlement moral et sexuel dans le droit positif </w:t>
            </w:r>
          </w:p>
          <w:p w14:paraId="23563CA4" w14:textId="77777777" w:rsidR="00962648" w:rsidRDefault="00962648" w:rsidP="00962648">
            <w:pPr>
              <w:jc w:val="center"/>
            </w:pPr>
          </w:p>
          <w:p w14:paraId="3E611D65" w14:textId="77777777" w:rsidR="00962648" w:rsidRPr="00494A98" w:rsidRDefault="00962648" w:rsidP="00962648">
            <w:pPr>
              <w:jc w:val="center"/>
              <w:rPr>
                <w:i/>
              </w:rPr>
            </w:pPr>
            <w:r w:rsidRPr="00494A98">
              <w:rPr>
                <w:i/>
              </w:rPr>
              <w:t>Laetitia Driguez</w:t>
            </w:r>
          </w:p>
          <w:p w14:paraId="7A1B0D4C" w14:textId="77777777" w:rsidR="00806BC7" w:rsidRDefault="00806BC7" w:rsidP="00716283">
            <w:pPr>
              <w:jc w:val="center"/>
            </w:pPr>
          </w:p>
          <w:p w14:paraId="18D01482" w14:textId="19BD3A27" w:rsidR="00806BC7" w:rsidRDefault="00806BC7" w:rsidP="00716283">
            <w:pPr>
              <w:jc w:val="center"/>
            </w:pPr>
          </w:p>
        </w:tc>
        <w:tc>
          <w:tcPr>
            <w:tcW w:w="2799" w:type="dxa"/>
            <w:vAlign w:val="center"/>
          </w:tcPr>
          <w:p w14:paraId="544D5973" w14:textId="77777777" w:rsidR="00AD040D" w:rsidRDefault="00AD040D" w:rsidP="00716283">
            <w:pPr>
              <w:jc w:val="center"/>
            </w:pPr>
          </w:p>
          <w:p w14:paraId="01AF74A8" w14:textId="31D9A6D6" w:rsidR="002E71D6" w:rsidRDefault="00962648" w:rsidP="00716283">
            <w:pPr>
              <w:jc w:val="center"/>
            </w:pPr>
            <w:r>
              <w:t>9h</w:t>
            </w:r>
          </w:p>
          <w:p w14:paraId="43672B14" w14:textId="77777777" w:rsidR="00962648" w:rsidRDefault="00962648" w:rsidP="00716283">
            <w:pPr>
              <w:jc w:val="center"/>
            </w:pPr>
          </w:p>
          <w:p w14:paraId="283B4705" w14:textId="77777777" w:rsidR="00962648" w:rsidRDefault="00962648" w:rsidP="00962648">
            <w:pPr>
              <w:jc w:val="center"/>
            </w:pPr>
            <w:r w:rsidRPr="00962648">
              <w:t>Recherche juridique et documentaire</w:t>
            </w:r>
          </w:p>
          <w:p w14:paraId="05205034" w14:textId="77777777" w:rsidR="00962648" w:rsidRDefault="00962648" w:rsidP="00962648">
            <w:pPr>
              <w:jc w:val="center"/>
            </w:pPr>
          </w:p>
          <w:p w14:paraId="43B19602" w14:textId="77777777" w:rsidR="00962648" w:rsidRDefault="00962648" w:rsidP="00962648">
            <w:pPr>
              <w:jc w:val="center"/>
            </w:pPr>
            <w:r>
              <w:t>Sabrina Mraouahi</w:t>
            </w:r>
          </w:p>
          <w:p w14:paraId="348EDCF2" w14:textId="77777777" w:rsidR="00A77349" w:rsidRDefault="00A77349" w:rsidP="00A77349">
            <w:pPr>
              <w:jc w:val="center"/>
            </w:pPr>
          </w:p>
          <w:p w14:paraId="431AF1B3" w14:textId="77777777" w:rsidR="002E71D6" w:rsidRDefault="002E71D6" w:rsidP="00716283">
            <w:pPr>
              <w:jc w:val="center"/>
            </w:pPr>
          </w:p>
          <w:p w14:paraId="658048A8" w14:textId="77777777" w:rsidR="00806BC7" w:rsidRDefault="00806BC7" w:rsidP="00716283">
            <w:pPr>
              <w:jc w:val="center"/>
            </w:pPr>
          </w:p>
        </w:tc>
        <w:tc>
          <w:tcPr>
            <w:tcW w:w="2799" w:type="dxa"/>
            <w:vAlign w:val="center"/>
          </w:tcPr>
          <w:p w14:paraId="05703205" w14:textId="0DFF37AF" w:rsidR="002E71D6" w:rsidRDefault="00962648" w:rsidP="00716283">
            <w:pPr>
              <w:jc w:val="center"/>
            </w:pPr>
            <w:r>
              <w:t>9h</w:t>
            </w:r>
          </w:p>
          <w:p w14:paraId="364E8679" w14:textId="06B09CF2" w:rsidR="00A862FB" w:rsidRDefault="00A77349" w:rsidP="00716283">
            <w:pPr>
              <w:jc w:val="center"/>
              <w:rPr>
                <w:highlight w:val="yellow"/>
              </w:rPr>
            </w:pPr>
            <w:r>
              <w:t>Preuve, a</w:t>
            </w:r>
            <w:r w:rsidR="00993915">
              <w:t xml:space="preserve">ctions en justice et sanctions des </w:t>
            </w:r>
            <w:r w:rsidR="00865F1B">
              <w:t>actes de harcèlement</w:t>
            </w:r>
          </w:p>
          <w:p w14:paraId="5EBC17BE" w14:textId="366D7D46" w:rsidR="00FA30E4" w:rsidRDefault="00FA30E4" w:rsidP="00865F1B">
            <w:pPr>
              <w:jc w:val="center"/>
              <w:rPr>
                <w:i/>
              </w:rPr>
            </w:pPr>
          </w:p>
          <w:p w14:paraId="53D79B7A" w14:textId="440A6B1D" w:rsidR="00612C16" w:rsidRDefault="00865F1B" w:rsidP="00865F1B">
            <w:pPr>
              <w:jc w:val="center"/>
              <w:rPr>
                <w:i/>
              </w:rPr>
            </w:pPr>
            <w:r>
              <w:rPr>
                <w:i/>
              </w:rPr>
              <w:t>Laetitia Driguez</w:t>
            </w:r>
          </w:p>
          <w:p w14:paraId="5F0FC32C" w14:textId="77777777" w:rsidR="00AD040D" w:rsidRDefault="00AD040D" w:rsidP="00865F1B">
            <w:pPr>
              <w:jc w:val="center"/>
              <w:rPr>
                <w:i/>
              </w:rPr>
            </w:pPr>
          </w:p>
          <w:p w14:paraId="191F5283" w14:textId="780CE91C" w:rsidR="00865F1B" w:rsidRDefault="00865F1B" w:rsidP="00865F1B">
            <w:pPr>
              <w:jc w:val="center"/>
            </w:pPr>
          </w:p>
        </w:tc>
        <w:tc>
          <w:tcPr>
            <w:tcW w:w="2799" w:type="dxa"/>
            <w:vAlign w:val="center"/>
          </w:tcPr>
          <w:p w14:paraId="61AD3578" w14:textId="1154452B" w:rsidR="002E71D6" w:rsidRDefault="00962648" w:rsidP="00716283">
            <w:pPr>
              <w:jc w:val="center"/>
            </w:pPr>
            <w:r>
              <w:t>9h</w:t>
            </w:r>
          </w:p>
          <w:p w14:paraId="12CFB557" w14:textId="6849B716" w:rsidR="00A77349" w:rsidRDefault="00A77349" w:rsidP="00716283">
            <w:pPr>
              <w:jc w:val="center"/>
            </w:pPr>
            <w:r>
              <w:t>La réparation du préjudice et les demandes accessoires (art. 700 CPC…)</w:t>
            </w:r>
          </w:p>
          <w:p w14:paraId="4CE91A2E" w14:textId="77777777" w:rsidR="002E71D6" w:rsidRDefault="002E71D6" w:rsidP="00716283">
            <w:pPr>
              <w:jc w:val="center"/>
            </w:pPr>
          </w:p>
          <w:p w14:paraId="259E2B88" w14:textId="56798743" w:rsidR="00806BC7" w:rsidRDefault="00517E88" w:rsidP="00716283">
            <w:pPr>
              <w:jc w:val="center"/>
              <w:rPr>
                <w:i/>
                <w:iCs/>
              </w:rPr>
            </w:pPr>
            <w:r>
              <w:rPr>
                <w:i/>
                <w:iCs/>
              </w:rPr>
              <w:t>Laetitia Driguez</w:t>
            </w:r>
            <w:r w:rsidR="00993915" w:rsidRPr="00865F1B">
              <w:rPr>
                <w:i/>
                <w:iCs/>
              </w:rPr>
              <w:t xml:space="preserve"> </w:t>
            </w:r>
          </w:p>
          <w:p w14:paraId="574FB118" w14:textId="77777777" w:rsidR="00AD040D" w:rsidRDefault="00AD040D" w:rsidP="00865F1B">
            <w:pPr>
              <w:jc w:val="center"/>
            </w:pPr>
          </w:p>
          <w:p w14:paraId="3688F0CF" w14:textId="2387D223" w:rsidR="00865F1B" w:rsidRDefault="00865F1B" w:rsidP="00865F1B">
            <w:pPr>
              <w:jc w:val="center"/>
            </w:pPr>
          </w:p>
        </w:tc>
      </w:tr>
      <w:tr w:rsidR="00993915" w14:paraId="47E24E47" w14:textId="77777777" w:rsidTr="00716283">
        <w:trPr>
          <w:trHeight w:val="2909"/>
          <w:jc w:val="center"/>
        </w:trPr>
        <w:tc>
          <w:tcPr>
            <w:tcW w:w="2798" w:type="dxa"/>
            <w:vAlign w:val="center"/>
          </w:tcPr>
          <w:p w14:paraId="774B6A1F" w14:textId="4C3D9400" w:rsidR="00806BC7" w:rsidRPr="00BA0724" w:rsidRDefault="00806BC7" w:rsidP="00517E88">
            <w:pPr>
              <w:jc w:val="center"/>
            </w:pPr>
            <w:r w:rsidRPr="00BA0724">
              <w:t>14h</w:t>
            </w:r>
          </w:p>
          <w:p w14:paraId="7163978B" w14:textId="77777777" w:rsidR="00F8413B" w:rsidRPr="00BA0724" w:rsidRDefault="00F8413B" w:rsidP="00517E88">
            <w:pPr>
              <w:jc w:val="center"/>
            </w:pPr>
          </w:p>
          <w:p w14:paraId="1DE4BD4E" w14:textId="77777777" w:rsidR="004176D7" w:rsidRPr="00BA0724" w:rsidRDefault="004176D7" w:rsidP="004176D7">
            <w:pPr>
              <w:jc w:val="center"/>
              <w:rPr>
                <w:iCs/>
              </w:rPr>
            </w:pPr>
            <w:r w:rsidRPr="00BA0724">
              <w:rPr>
                <w:iCs/>
              </w:rPr>
              <w:t>Missions et pouvoirs du bureau de conciliation et d’orientation</w:t>
            </w:r>
          </w:p>
          <w:p w14:paraId="233320A6" w14:textId="5EFCA8CE" w:rsidR="00806BC7" w:rsidRPr="00BA0724" w:rsidRDefault="00A77349" w:rsidP="00716283">
            <w:pPr>
              <w:jc w:val="center"/>
            </w:pPr>
            <w:r w:rsidRPr="00BA0724">
              <w:t>(</w:t>
            </w:r>
            <w:proofErr w:type="gramStart"/>
            <w:r w:rsidRPr="00BA0724">
              <w:t>suite</w:t>
            </w:r>
            <w:proofErr w:type="gramEnd"/>
            <w:r w:rsidRPr="00BA0724">
              <w:t>)</w:t>
            </w:r>
          </w:p>
          <w:p w14:paraId="4D819F7C" w14:textId="6AE45AEE" w:rsidR="00A77349" w:rsidRPr="00BA0724" w:rsidRDefault="00A77349" w:rsidP="00716283">
            <w:pPr>
              <w:jc w:val="center"/>
            </w:pPr>
            <w:r w:rsidRPr="00BA0724">
              <w:t xml:space="preserve">--- </w:t>
            </w:r>
          </w:p>
          <w:p w14:paraId="2472C213" w14:textId="24652922" w:rsidR="00A77349" w:rsidRPr="00BA0724" w:rsidRDefault="00A77349" w:rsidP="00716283">
            <w:pPr>
              <w:jc w:val="center"/>
            </w:pPr>
            <w:r w:rsidRPr="00BA0724">
              <w:t>Le cas particulier du référé</w:t>
            </w:r>
          </w:p>
          <w:p w14:paraId="57E7B133" w14:textId="62ECCFCA" w:rsidR="00517E88" w:rsidRPr="00BA0724" w:rsidRDefault="00517E88" w:rsidP="00716283">
            <w:pPr>
              <w:jc w:val="center"/>
              <w:rPr>
                <w:i/>
                <w:iCs/>
              </w:rPr>
            </w:pPr>
            <w:r w:rsidRPr="00BA0724">
              <w:rPr>
                <w:i/>
                <w:iCs/>
              </w:rPr>
              <w:t>Sabrina Mraouahi</w:t>
            </w:r>
          </w:p>
          <w:p w14:paraId="7F2BC61D" w14:textId="77777777" w:rsidR="00517E88" w:rsidRPr="00BA0724" w:rsidRDefault="00517E88" w:rsidP="004176D7"/>
          <w:p w14:paraId="69319903" w14:textId="0AE41F34" w:rsidR="00806BC7" w:rsidRPr="00BA0724" w:rsidRDefault="00AD040D" w:rsidP="00716283">
            <w:pPr>
              <w:jc w:val="center"/>
            </w:pPr>
            <w:r w:rsidRPr="00BA0724">
              <w:t>Fin à 17 h</w:t>
            </w:r>
          </w:p>
        </w:tc>
        <w:tc>
          <w:tcPr>
            <w:tcW w:w="2799" w:type="dxa"/>
            <w:vAlign w:val="center"/>
          </w:tcPr>
          <w:p w14:paraId="2EC7ED9E" w14:textId="67B7BC79" w:rsidR="00806BC7" w:rsidRDefault="00A862FB" w:rsidP="00BA0724">
            <w:pPr>
              <w:jc w:val="center"/>
            </w:pPr>
            <w:r>
              <w:t>14h</w:t>
            </w:r>
          </w:p>
          <w:p w14:paraId="46F3A4F5" w14:textId="77777777" w:rsidR="002E71D6" w:rsidRDefault="002E71D6" w:rsidP="00716283">
            <w:pPr>
              <w:jc w:val="center"/>
            </w:pPr>
          </w:p>
          <w:p w14:paraId="0C0C2DB0" w14:textId="77777777" w:rsidR="00806BC7" w:rsidRDefault="00716283" w:rsidP="00716283">
            <w:pPr>
              <w:jc w:val="center"/>
            </w:pPr>
            <w:r>
              <w:t>Etude de cas</w:t>
            </w:r>
          </w:p>
          <w:p w14:paraId="4A4174E1" w14:textId="6F490F52" w:rsidR="00716283" w:rsidRDefault="00716283" w:rsidP="00716283">
            <w:pPr>
              <w:jc w:val="center"/>
            </w:pPr>
            <w:r>
              <w:t>Travaux de groupes</w:t>
            </w:r>
          </w:p>
          <w:p w14:paraId="639795B4" w14:textId="4DED4E1B" w:rsidR="00993915" w:rsidRDefault="009A1777" w:rsidP="00716283">
            <w:pPr>
              <w:jc w:val="center"/>
              <w:rPr>
                <w:i/>
                <w:iCs/>
              </w:rPr>
            </w:pPr>
            <w:r w:rsidRPr="009A1777">
              <w:rPr>
                <w:i/>
                <w:iCs/>
              </w:rPr>
              <w:t>Laetitia Driguez</w:t>
            </w:r>
          </w:p>
          <w:p w14:paraId="23DA3475" w14:textId="529FD526" w:rsidR="00517E88" w:rsidRPr="009A1777" w:rsidRDefault="00517E88" w:rsidP="00716283">
            <w:pPr>
              <w:jc w:val="center"/>
              <w:rPr>
                <w:i/>
                <w:iCs/>
              </w:rPr>
            </w:pPr>
            <w:r>
              <w:rPr>
                <w:i/>
                <w:iCs/>
              </w:rPr>
              <w:t>Sabrina Mraouahi</w:t>
            </w:r>
          </w:p>
          <w:p w14:paraId="29B31849" w14:textId="79F7850C" w:rsidR="00993915" w:rsidRPr="00CD4893" w:rsidRDefault="00F8413B" w:rsidP="00F8413B">
            <w:pPr>
              <w:pStyle w:val="Paragraphedeliste"/>
              <w:numPr>
                <w:ilvl w:val="0"/>
                <w:numId w:val="1"/>
              </w:numPr>
            </w:pPr>
            <w:r>
              <w:t>R</w:t>
            </w:r>
            <w:r w:rsidR="00993915" w:rsidRPr="00CD4893">
              <w:t xml:space="preserve">appel des consignes </w:t>
            </w:r>
          </w:p>
          <w:p w14:paraId="2E349096" w14:textId="14A4B2C4" w:rsidR="00806BC7" w:rsidRDefault="001032CD" w:rsidP="00F8413B">
            <w:pPr>
              <w:pStyle w:val="Paragraphedeliste"/>
              <w:numPr>
                <w:ilvl w:val="0"/>
                <w:numId w:val="1"/>
              </w:numPr>
            </w:pPr>
            <w:r>
              <w:t>R</w:t>
            </w:r>
            <w:r w:rsidR="00CD4893">
              <w:t>epérage</w:t>
            </w:r>
            <w:r>
              <w:t xml:space="preserve"> </w:t>
            </w:r>
            <w:r w:rsidR="00CD4893">
              <w:t>des demandes</w:t>
            </w:r>
            <w:r w:rsidR="00F8413B">
              <w:t xml:space="preserve"> et des moyens</w:t>
            </w:r>
          </w:p>
        </w:tc>
        <w:tc>
          <w:tcPr>
            <w:tcW w:w="2799" w:type="dxa"/>
            <w:vAlign w:val="center"/>
          </w:tcPr>
          <w:p w14:paraId="3720D048" w14:textId="77777777" w:rsidR="00BA0724" w:rsidRDefault="00BA0724" w:rsidP="00517E88">
            <w:pPr>
              <w:jc w:val="center"/>
            </w:pPr>
          </w:p>
          <w:p w14:paraId="5DB71EDB" w14:textId="59E1665C" w:rsidR="00993915" w:rsidRDefault="00993915" w:rsidP="00517E88">
            <w:pPr>
              <w:jc w:val="center"/>
            </w:pPr>
            <w:r>
              <w:t>14h</w:t>
            </w:r>
          </w:p>
          <w:p w14:paraId="17FCB378" w14:textId="77777777" w:rsidR="00962648" w:rsidRDefault="00962648" w:rsidP="00993915">
            <w:pPr>
              <w:jc w:val="center"/>
            </w:pPr>
          </w:p>
          <w:p w14:paraId="6CD62722" w14:textId="68EE45E8" w:rsidR="00993915" w:rsidRDefault="00993915" w:rsidP="00993915">
            <w:pPr>
              <w:jc w:val="center"/>
            </w:pPr>
            <w:r>
              <w:t>Etude de cas</w:t>
            </w:r>
          </w:p>
          <w:p w14:paraId="6EA84068" w14:textId="77777777" w:rsidR="00993915" w:rsidRDefault="00993915" w:rsidP="00993915">
            <w:pPr>
              <w:jc w:val="center"/>
            </w:pPr>
            <w:r>
              <w:t>Travaux de groupes</w:t>
            </w:r>
          </w:p>
          <w:p w14:paraId="47BBB5C4" w14:textId="77777777" w:rsidR="00993915" w:rsidRDefault="00993915" w:rsidP="00993915">
            <w:pPr>
              <w:jc w:val="center"/>
            </w:pPr>
          </w:p>
          <w:p w14:paraId="3387900D" w14:textId="42BFA12A" w:rsidR="00716283" w:rsidRDefault="00993915" w:rsidP="00993915">
            <w:pPr>
              <w:pStyle w:val="Paragraphedeliste"/>
              <w:numPr>
                <w:ilvl w:val="0"/>
                <w:numId w:val="1"/>
              </w:numPr>
            </w:pPr>
            <w:r>
              <w:t>Réfléchir à l’analyse juridique</w:t>
            </w:r>
          </w:p>
          <w:p w14:paraId="7AD7129F" w14:textId="4D5C4D1B" w:rsidR="00993915" w:rsidRDefault="00FA30E4" w:rsidP="00993915">
            <w:pPr>
              <w:pStyle w:val="Paragraphedeliste"/>
              <w:numPr>
                <w:ilvl w:val="0"/>
                <w:numId w:val="1"/>
              </w:numPr>
            </w:pPr>
            <w:r>
              <w:t>Délibéré</w:t>
            </w:r>
          </w:p>
          <w:p w14:paraId="6906E756" w14:textId="77777777" w:rsidR="00517E88" w:rsidRDefault="00517E88" w:rsidP="00CD4893">
            <w:pPr>
              <w:pStyle w:val="Paragraphedeliste"/>
            </w:pPr>
          </w:p>
          <w:p w14:paraId="22FA6F8B" w14:textId="365C0D65" w:rsidR="00806BC7" w:rsidRDefault="00806BC7" w:rsidP="00993915">
            <w:pPr>
              <w:jc w:val="center"/>
            </w:pPr>
          </w:p>
        </w:tc>
        <w:tc>
          <w:tcPr>
            <w:tcW w:w="2799" w:type="dxa"/>
            <w:vAlign w:val="center"/>
          </w:tcPr>
          <w:p w14:paraId="273A7037" w14:textId="77777777" w:rsidR="00BA0724" w:rsidRDefault="00BA0724" w:rsidP="00993915">
            <w:pPr>
              <w:jc w:val="center"/>
            </w:pPr>
          </w:p>
          <w:p w14:paraId="4042808C" w14:textId="00E3337A" w:rsidR="00993915" w:rsidRDefault="00993915" w:rsidP="00993915">
            <w:pPr>
              <w:jc w:val="center"/>
            </w:pPr>
            <w:r>
              <w:t>14h</w:t>
            </w:r>
          </w:p>
          <w:p w14:paraId="524A4D0E" w14:textId="547DC26F" w:rsidR="00993915" w:rsidRDefault="00993915" w:rsidP="00993915">
            <w:pPr>
              <w:jc w:val="center"/>
            </w:pPr>
          </w:p>
          <w:p w14:paraId="077AF5E5" w14:textId="77777777" w:rsidR="00993915" w:rsidRDefault="00993915" w:rsidP="00993915">
            <w:pPr>
              <w:jc w:val="center"/>
            </w:pPr>
            <w:r>
              <w:t>Etude de cas</w:t>
            </w:r>
          </w:p>
          <w:p w14:paraId="13380392" w14:textId="77777777" w:rsidR="00993915" w:rsidRDefault="00993915" w:rsidP="00993915">
            <w:pPr>
              <w:jc w:val="center"/>
            </w:pPr>
            <w:r>
              <w:t>Travaux de groupes</w:t>
            </w:r>
          </w:p>
          <w:p w14:paraId="66EDC669" w14:textId="40C40AF7" w:rsidR="00993915" w:rsidRDefault="00993915" w:rsidP="00993915">
            <w:pPr>
              <w:jc w:val="center"/>
            </w:pPr>
          </w:p>
          <w:p w14:paraId="7BB5F8B2" w14:textId="6FEF32CE" w:rsidR="00806BC7" w:rsidRDefault="00993915" w:rsidP="00FA30E4">
            <w:pPr>
              <w:pStyle w:val="Paragraphedeliste"/>
              <w:numPr>
                <w:ilvl w:val="0"/>
                <w:numId w:val="1"/>
              </w:numPr>
            </w:pPr>
            <w:r>
              <w:t>Rédaction</w:t>
            </w:r>
            <w:r w:rsidR="00FA30E4">
              <w:t xml:space="preserve"> du</w:t>
            </w:r>
            <w:r>
              <w:t xml:space="preserve"> jugement</w:t>
            </w:r>
          </w:p>
          <w:p w14:paraId="467CF75B" w14:textId="77777777" w:rsidR="00962648" w:rsidRDefault="00962648" w:rsidP="00962648">
            <w:pPr>
              <w:pStyle w:val="Paragraphedeliste"/>
              <w:ind w:left="360"/>
            </w:pPr>
          </w:p>
          <w:p w14:paraId="6ABA7E83" w14:textId="77777777" w:rsidR="00993915" w:rsidRDefault="00993915" w:rsidP="00993915">
            <w:pPr>
              <w:jc w:val="center"/>
            </w:pPr>
          </w:p>
          <w:p w14:paraId="0F12C971" w14:textId="77777777" w:rsidR="00716283" w:rsidRDefault="00716283" w:rsidP="00716283">
            <w:pPr>
              <w:jc w:val="center"/>
            </w:pPr>
          </w:p>
          <w:p w14:paraId="5EC6A26E" w14:textId="77777777" w:rsidR="00716283" w:rsidRDefault="00716283" w:rsidP="00716283">
            <w:pPr>
              <w:jc w:val="center"/>
            </w:pPr>
          </w:p>
          <w:p w14:paraId="05524083" w14:textId="77777777" w:rsidR="00806BC7" w:rsidRDefault="00806BC7" w:rsidP="00716283">
            <w:pPr>
              <w:jc w:val="center"/>
            </w:pPr>
          </w:p>
        </w:tc>
        <w:tc>
          <w:tcPr>
            <w:tcW w:w="2799" w:type="dxa"/>
            <w:vAlign w:val="center"/>
          </w:tcPr>
          <w:p w14:paraId="28ED5318" w14:textId="77777777" w:rsidR="000E5FA9" w:rsidRDefault="000E5FA9" w:rsidP="000E5FA9">
            <w:pPr>
              <w:jc w:val="center"/>
            </w:pPr>
            <w:r>
              <w:t>14h</w:t>
            </w:r>
          </w:p>
          <w:p w14:paraId="36FC7CFB" w14:textId="48E5C8F9" w:rsidR="00A77349" w:rsidRDefault="00A77349" w:rsidP="00A77349">
            <w:pPr>
              <w:pBdr>
                <w:bottom w:val="dotted" w:sz="24" w:space="1" w:color="auto"/>
              </w:pBdr>
              <w:jc w:val="center"/>
            </w:pPr>
            <w:r>
              <w:t>Restitution des jugements produits en groupes</w:t>
            </w:r>
          </w:p>
          <w:p w14:paraId="5B267506" w14:textId="6D644DD4" w:rsidR="00517E88" w:rsidRDefault="00517E88" w:rsidP="00A77349">
            <w:pPr>
              <w:pBdr>
                <w:bottom w:val="dotted" w:sz="24" w:space="1" w:color="auto"/>
              </w:pBdr>
              <w:jc w:val="center"/>
            </w:pPr>
          </w:p>
          <w:p w14:paraId="3C0AB860" w14:textId="77777777" w:rsidR="00517E88" w:rsidRDefault="00517E88" w:rsidP="00A77349">
            <w:pPr>
              <w:pBdr>
                <w:bottom w:val="dotted" w:sz="24" w:space="1" w:color="auto"/>
              </w:pBdr>
              <w:jc w:val="center"/>
            </w:pPr>
          </w:p>
          <w:p w14:paraId="5309DB3E" w14:textId="77777777" w:rsidR="00517E88" w:rsidRDefault="00517E88" w:rsidP="000E5FA9">
            <w:pPr>
              <w:jc w:val="center"/>
            </w:pPr>
          </w:p>
          <w:p w14:paraId="3399907E" w14:textId="0250062F" w:rsidR="000E5FA9" w:rsidRDefault="000E5FA9" w:rsidP="000E5FA9">
            <w:pPr>
              <w:jc w:val="center"/>
            </w:pPr>
            <w:r>
              <w:t>Evaluation du stage</w:t>
            </w:r>
          </w:p>
          <w:p w14:paraId="25490445" w14:textId="77777777" w:rsidR="000E5FA9" w:rsidRDefault="000E5FA9" w:rsidP="000E5FA9">
            <w:pPr>
              <w:jc w:val="center"/>
            </w:pPr>
          </w:p>
          <w:p w14:paraId="7D35A461" w14:textId="77777777" w:rsidR="000E5FA9" w:rsidRPr="003333DB" w:rsidRDefault="000E5FA9" w:rsidP="000E5FA9">
            <w:pPr>
              <w:jc w:val="center"/>
              <w:rPr>
                <w:i/>
              </w:rPr>
            </w:pPr>
            <w:r w:rsidRPr="003333DB">
              <w:rPr>
                <w:i/>
              </w:rPr>
              <w:t>Laetitia Driguez</w:t>
            </w:r>
          </w:p>
          <w:p w14:paraId="4E8B0F99" w14:textId="609DF237" w:rsidR="00993915" w:rsidRDefault="00517E88" w:rsidP="000E5FA9">
            <w:pPr>
              <w:jc w:val="center"/>
            </w:pPr>
            <w:r>
              <w:rPr>
                <w:i/>
              </w:rPr>
              <w:t>Sabrina Mraouahi</w:t>
            </w:r>
          </w:p>
        </w:tc>
      </w:tr>
    </w:tbl>
    <w:p w14:paraId="09304045" w14:textId="77777777" w:rsidR="00747251" w:rsidRDefault="00747251" w:rsidP="00835480">
      <w:pPr>
        <w:jc w:val="both"/>
        <w:rPr>
          <w:b/>
        </w:rPr>
      </w:pPr>
    </w:p>
    <w:p w14:paraId="7629B0A1" w14:textId="77777777" w:rsidR="00747251" w:rsidRDefault="00747251" w:rsidP="00835480">
      <w:pPr>
        <w:jc w:val="both"/>
        <w:rPr>
          <w:b/>
        </w:rPr>
      </w:pPr>
    </w:p>
    <w:p w14:paraId="64CE0E1E" w14:textId="1B1E582F" w:rsidR="00835480" w:rsidRDefault="00835480" w:rsidP="00835480">
      <w:pPr>
        <w:jc w:val="both"/>
        <w:rPr>
          <w:b/>
        </w:rPr>
      </w:pPr>
      <w:r>
        <w:rPr>
          <w:b/>
        </w:rPr>
        <w:lastRenderedPageBreak/>
        <w:t>PRESENTATION DU STAGE :</w:t>
      </w:r>
    </w:p>
    <w:p w14:paraId="7631BFD0" w14:textId="77777777" w:rsidR="004A6D96" w:rsidRDefault="00835480" w:rsidP="00835480">
      <w:pPr>
        <w:jc w:val="both"/>
      </w:pPr>
      <w:r>
        <w:rPr>
          <w:b/>
        </w:rPr>
        <w:t>Objectifs</w:t>
      </w:r>
      <w:r>
        <w:t xml:space="preserve"> : </w:t>
      </w:r>
      <w:r w:rsidR="004A6D96" w:rsidRPr="004A6D96">
        <w:t xml:space="preserve">Cette session de formation </w:t>
      </w:r>
      <w:r w:rsidR="004A6D96">
        <w:t>poursuit deux objectifs :</w:t>
      </w:r>
    </w:p>
    <w:p w14:paraId="52B632AC" w14:textId="0C026025" w:rsidR="004A6D96" w:rsidRDefault="004A6D96" w:rsidP="00835480">
      <w:pPr>
        <w:jc w:val="both"/>
      </w:pPr>
      <w:r>
        <w:t xml:space="preserve"> 1) faire réfléchir et travailler les participants sur leur pratique procédurale au sein des conseils de prud’hommes</w:t>
      </w:r>
      <w:r w:rsidR="004176D7">
        <w:t xml:space="preserve">, </w:t>
      </w:r>
      <w:r w:rsidR="004176D7" w:rsidRPr="006E17AC">
        <w:t>notamment dans l’exercice des missions du bureau de conciliation et d’orientation et</w:t>
      </w:r>
      <w:r w:rsidR="008E1CA7">
        <w:t xml:space="preserve"> </w:t>
      </w:r>
      <w:r w:rsidR="004176D7" w:rsidRPr="006E17AC">
        <w:t>de la formation des référés</w:t>
      </w:r>
    </w:p>
    <w:p w14:paraId="1EC615E9" w14:textId="22929493" w:rsidR="004A6D96" w:rsidRDefault="004A6D96" w:rsidP="00835480">
      <w:pPr>
        <w:jc w:val="both"/>
      </w:pPr>
      <w:r>
        <w:t xml:space="preserve"> 2) </w:t>
      </w:r>
      <w:r w:rsidRPr="004A6D96">
        <w:t xml:space="preserve"> familiariser un public de conseillers prud’hommes avec la problématique du « harcèlement »</w:t>
      </w:r>
      <w:r w:rsidR="006E17AC">
        <w:t xml:space="preserve"> moral et sexuel</w:t>
      </w:r>
      <w:r>
        <w:t xml:space="preserve"> en entreprise</w:t>
      </w:r>
      <w:r w:rsidR="00557D1E">
        <w:t xml:space="preserve"> et les faire réfléchir sur le thème de la réparation du préjudice en général.</w:t>
      </w:r>
    </w:p>
    <w:p w14:paraId="4FC63E30" w14:textId="3EAFF1B7" w:rsidR="004A6D96" w:rsidRDefault="004A6D96" w:rsidP="004A6D96">
      <w:pPr>
        <w:jc w:val="both"/>
      </w:pPr>
      <w:r w:rsidRPr="006E17AC">
        <w:rPr>
          <w:b/>
        </w:rPr>
        <w:t>Programme</w:t>
      </w:r>
      <w:r w:rsidRPr="006E17AC">
        <w:t> :</w:t>
      </w:r>
    </w:p>
    <w:p w14:paraId="7061F0A0" w14:textId="4D9D6DCC" w:rsidR="004176D7" w:rsidRPr="006E17AC" w:rsidRDefault="004176D7" w:rsidP="004A6D96">
      <w:pPr>
        <w:jc w:val="both"/>
      </w:pPr>
      <w:r w:rsidRPr="006E17AC">
        <w:t>1) Missions et pouvoirs du bureau de conciliation et d’orientation</w:t>
      </w:r>
      <w:r w:rsidR="00CE00F3" w:rsidRPr="006E17AC">
        <w:t xml:space="preserve"> </w:t>
      </w:r>
      <w:r w:rsidRPr="006E17AC">
        <w:t>: il s’agira</w:t>
      </w:r>
      <w:r w:rsidR="00CE00F3" w:rsidRPr="006E17AC">
        <w:t>, dans un premier temps,</w:t>
      </w:r>
      <w:r w:rsidRPr="006E17AC">
        <w:t xml:space="preserve"> d’identifier les différentes missions attribuées au bureau de conciliation et d’orientation ainsi que les pouvoirs qui lui sont reconnus dans ce cadre (quels pouvoirs ? comment les mobiliser ? quelles limites ?)</w:t>
      </w:r>
      <w:r w:rsidR="00CE00F3" w:rsidRPr="006E17AC">
        <w:t>.</w:t>
      </w:r>
    </w:p>
    <w:p w14:paraId="2621326D" w14:textId="084257B2" w:rsidR="00CE00F3" w:rsidRDefault="00CE00F3" w:rsidP="004A6D96">
      <w:pPr>
        <w:jc w:val="both"/>
      </w:pPr>
      <w:r w:rsidRPr="006E17AC">
        <w:t>Le cas particulier du référé : il s’agira, dans un second temps, de réaliser un cadrage général des cas où la formation des référés peut intervenir, mais aussi des mesures qu’elle peut ordonner.</w:t>
      </w:r>
    </w:p>
    <w:p w14:paraId="28522174" w14:textId="1C0B4F22" w:rsidR="004A6D96" w:rsidRDefault="004A6D96" w:rsidP="004A6D96">
      <w:pPr>
        <w:jc w:val="both"/>
      </w:pPr>
      <w:r>
        <w:t xml:space="preserve">2) </w:t>
      </w:r>
      <w:r w:rsidR="00F5396F">
        <w:t>L</w:t>
      </w:r>
      <w:r>
        <w:t>e droit du harcèlement moral et du harcèlement sexuel et sexiste : nous verrons quels éléments interviennent dans la qualification de harcèlement puis comme</w:t>
      </w:r>
      <w:r w:rsidR="006E17AC">
        <w:t>nt</w:t>
      </w:r>
      <w:r>
        <w:t xml:space="preserve"> s’organise le régime de la preuve en la matière et quelles sanctions peuvent être prononcées</w:t>
      </w:r>
      <w:r w:rsidR="00F5396F">
        <w:t>, selon le contexte (harcèlement par l’employeur, harcèlement par un collègue…)</w:t>
      </w:r>
    </w:p>
    <w:p w14:paraId="78E7826C" w14:textId="1C57A7A3" w:rsidR="006E17AC" w:rsidRPr="004A6D96" w:rsidRDefault="006E17AC" w:rsidP="004A6D96">
      <w:pPr>
        <w:jc w:val="both"/>
      </w:pPr>
      <w:r>
        <w:t xml:space="preserve">3) La session </w:t>
      </w:r>
      <w:r w:rsidR="00747251">
        <w:t xml:space="preserve">proposera enfin une synthèse sur la question de la réparation du préjudice en général et </w:t>
      </w:r>
      <w:r>
        <w:t xml:space="preserve">sur les accessoires du jugement, c’est-à-dire l’ensemble des possibilités </w:t>
      </w:r>
      <w:proofErr w:type="gramStart"/>
      <w:r>
        <w:t>de</w:t>
      </w:r>
      <w:proofErr w:type="gramEnd"/>
      <w:r>
        <w:t xml:space="preserve"> condamnation accessoire à ce qui est jugé sur la demande principale, et qui figurent le cas échéant dans le dispositif du jugement (exécution provisoire, article 700 CPC, intérêts…)</w:t>
      </w:r>
    </w:p>
    <w:p w14:paraId="070CA057" w14:textId="6A7124FD" w:rsidR="00835480" w:rsidRDefault="004A6D96" w:rsidP="00835480">
      <w:pPr>
        <w:jc w:val="both"/>
      </w:pPr>
      <w:r w:rsidRPr="004A6D96">
        <w:rPr>
          <w:b/>
        </w:rPr>
        <w:t>Méthode</w:t>
      </w:r>
      <w:r w:rsidRPr="004A6D96">
        <w:t xml:space="preserve"> : </w:t>
      </w:r>
      <w:r>
        <w:t xml:space="preserve">La semaine de stage alternera </w:t>
      </w:r>
      <w:r w:rsidRPr="004A6D96">
        <w:t xml:space="preserve">interventions théoriques </w:t>
      </w:r>
      <w:r>
        <w:t>et travaux pratiques afin de favoriser l’appropriation des connaissances. Une attention particulière sera portée à la méthode de rédaction de jugements. Trois demi-journées sont consacrées à cet exercice. Après un certain nombre de rappels méthodologiques, les stagiaires se verront proposer la rédaction d’un jugement sur la base d’un cas réel, pour lequel seront remises les conclusions des avocats des deux parties et le cas échéant diverses pièces. Le cas sera choisi en rapport avec la thématique du harcèlement.</w:t>
      </w:r>
    </w:p>
    <w:sectPr w:rsidR="00835480" w:rsidSect="00747251">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E0CA1" w14:textId="77777777" w:rsidR="007C630D" w:rsidRDefault="007C630D" w:rsidP="00BD6877">
      <w:pPr>
        <w:spacing w:after="0" w:line="240" w:lineRule="auto"/>
      </w:pPr>
      <w:r>
        <w:separator/>
      </w:r>
    </w:p>
  </w:endnote>
  <w:endnote w:type="continuationSeparator" w:id="0">
    <w:p w14:paraId="0586C423" w14:textId="77777777" w:rsidR="007C630D" w:rsidRDefault="007C630D" w:rsidP="00BD6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AC0EF" w14:textId="77777777" w:rsidR="007C630D" w:rsidRDefault="007C630D" w:rsidP="00BD6877">
      <w:pPr>
        <w:spacing w:after="0" w:line="240" w:lineRule="auto"/>
      </w:pPr>
      <w:r>
        <w:separator/>
      </w:r>
    </w:p>
  </w:footnote>
  <w:footnote w:type="continuationSeparator" w:id="0">
    <w:p w14:paraId="43EE4494" w14:textId="77777777" w:rsidR="007C630D" w:rsidRDefault="007C630D" w:rsidP="00BD6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0A24" w14:textId="7FDE47CB" w:rsidR="00716283" w:rsidRDefault="006F2290" w:rsidP="007C5B21">
    <w:pPr>
      <w:pStyle w:val="En-tte"/>
      <w:jc w:val="center"/>
      <w:rPr>
        <w:b/>
        <w:sz w:val="24"/>
        <w:szCs w:val="24"/>
      </w:rPr>
    </w:pPr>
    <w:r>
      <w:rPr>
        <w:noProof/>
        <w:sz w:val="28"/>
        <w:szCs w:val="28"/>
        <w:lang w:eastAsia="fr-FR"/>
      </w:rPr>
      <w:drawing>
        <wp:anchor distT="0" distB="0" distL="114300" distR="114300" simplePos="0" relativeHeight="251658240" behindDoc="1" locked="0" layoutInCell="1" allowOverlap="1" wp14:anchorId="25C36F7D" wp14:editId="20B5FE9A">
          <wp:simplePos x="0" y="0"/>
          <wp:positionH relativeFrom="margin">
            <wp:align>center</wp:align>
          </wp:positionH>
          <wp:positionV relativeFrom="paragraph">
            <wp:posOffset>1270</wp:posOffset>
          </wp:positionV>
          <wp:extent cx="1689100" cy="725805"/>
          <wp:effectExtent l="0" t="0" r="635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oul_ Paris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9100" cy="725805"/>
                  </a:xfrm>
                  <a:prstGeom prst="rect">
                    <a:avLst/>
                  </a:prstGeom>
                </pic:spPr>
              </pic:pic>
            </a:graphicData>
          </a:graphic>
          <wp14:sizeRelH relativeFrom="margin">
            <wp14:pctWidth>0</wp14:pctWidth>
          </wp14:sizeRelH>
          <wp14:sizeRelV relativeFrom="margin">
            <wp14:pctHeight>0</wp14:pctHeight>
          </wp14:sizeRelV>
        </wp:anchor>
      </w:drawing>
    </w:r>
  </w:p>
  <w:p w14:paraId="70190A93" w14:textId="77777777" w:rsidR="007C5B21" w:rsidRPr="00716283" w:rsidRDefault="007C5B21" w:rsidP="007C5B21">
    <w:pPr>
      <w:pStyle w:val="En-tte"/>
      <w:jc w:val="center"/>
      <w:rPr>
        <w:b/>
        <w:sz w:val="24"/>
        <w:szCs w:val="24"/>
      </w:rPr>
    </w:pPr>
    <w:r w:rsidRPr="00716283">
      <w:rPr>
        <w:b/>
        <w:sz w:val="24"/>
        <w:szCs w:val="24"/>
      </w:rPr>
      <w:t>Institut des Sciences Sociales du Travail</w:t>
    </w:r>
  </w:p>
  <w:p w14:paraId="0BB7A137" w14:textId="320C49D0" w:rsidR="007C5B21" w:rsidRPr="00716283" w:rsidRDefault="007C5B21" w:rsidP="007C5B21">
    <w:pPr>
      <w:pStyle w:val="En-tte"/>
      <w:jc w:val="center"/>
      <w:rPr>
        <w:b/>
        <w:sz w:val="24"/>
        <w:szCs w:val="24"/>
      </w:rPr>
    </w:pPr>
    <w:r w:rsidRPr="00716283">
      <w:rPr>
        <w:b/>
        <w:sz w:val="24"/>
        <w:szCs w:val="24"/>
      </w:rPr>
      <w:t xml:space="preserve">STAGE </w:t>
    </w:r>
    <w:r w:rsidR="000B0F87">
      <w:rPr>
        <w:b/>
        <w:sz w:val="24"/>
        <w:szCs w:val="24"/>
      </w:rPr>
      <w:t xml:space="preserve">UGTG </w:t>
    </w:r>
    <w:r w:rsidRPr="00716283">
      <w:rPr>
        <w:b/>
        <w:sz w:val="24"/>
        <w:szCs w:val="24"/>
      </w:rPr>
      <w:t>« </w:t>
    </w:r>
    <w:r w:rsidR="000B0F87">
      <w:rPr>
        <w:b/>
        <w:sz w:val="24"/>
        <w:szCs w:val="24"/>
      </w:rPr>
      <w:t>Procédure prud’homale, harcèlement et réparation du préjudice</w:t>
    </w:r>
    <w:r w:rsidRPr="00716283">
      <w:rPr>
        <w:b/>
        <w:sz w:val="24"/>
        <w:szCs w:val="24"/>
      </w:rPr>
      <w:t> »</w:t>
    </w:r>
    <w:r w:rsidR="00B16AB7" w:rsidRPr="00716283">
      <w:rPr>
        <w:b/>
        <w:sz w:val="24"/>
        <w:szCs w:val="24"/>
      </w:rPr>
      <w:t xml:space="preserve"> du </w:t>
    </w:r>
    <w:r w:rsidR="000B0F87">
      <w:rPr>
        <w:b/>
        <w:sz w:val="24"/>
        <w:szCs w:val="24"/>
      </w:rPr>
      <w:t>9 au 13</w:t>
    </w:r>
    <w:r w:rsidR="00B16AB7" w:rsidRPr="00716283">
      <w:rPr>
        <w:b/>
        <w:sz w:val="24"/>
        <w:szCs w:val="24"/>
      </w:rPr>
      <w:t xml:space="preserve"> </w:t>
    </w:r>
    <w:r w:rsidR="000B0F87">
      <w:rPr>
        <w:b/>
        <w:sz w:val="24"/>
        <w:szCs w:val="24"/>
      </w:rPr>
      <w:t xml:space="preserve">décembre </w:t>
    </w:r>
    <w:r w:rsidR="00B16AB7" w:rsidRPr="00716283">
      <w:rPr>
        <w:b/>
        <w:sz w:val="24"/>
        <w:szCs w:val="24"/>
      </w:rPr>
      <w:t>20</w:t>
    </w:r>
    <w:r w:rsidR="00993915">
      <w:rPr>
        <w:b/>
        <w:sz w:val="24"/>
        <w:szCs w:val="24"/>
      </w:rPr>
      <w:t>24</w:t>
    </w:r>
  </w:p>
  <w:p w14:paraId="1EB07F8B" w14:textId="77777777" w:rsidR="00435DDE" w:rsidRPr="00716283" w:rsidRDefault="00435DDE" w:rsidP="00435DDE">
    <w:pPr>
      <w:pStyle w:val="En-tte"/>
      <w:jc w:val="center"/>
      <w:rPr>
        <w:sz w:val="24"/>
        <w:szCs w:val="24"/>
      </w:rPr>
    </w:pPr>
  </w:p>
  <w:p w14:paraId="7419B2B0" w14:textId="3B3093BA" w:rsidR="00435DDE" w:rsidRPr="00716283" w:rsidRDefault="00435DDE" w:rsidP="00747251">
    <w:pPr>
      <w:pStyle w:val="En-tte"/>
      <w:jc w:val="center"/>
      <w:rPr>
        <w:sz w:val="24"/>
        <w:szCs w:val="24"/>
      </w:rPr>
    </w:pPr>
    <w:r w:rsidRPr="00716283">
      <w:rPr>
        <w:sz w:val="24"/>
        <w:szCs w:val="24"/>
      </w:rPr>
      <w:t>Responsable</w:t>
    </w:r>
    <w:r w:rsidR="00612C16" w:rsidRPr="00716283">
      <w:rPr>
        <w:sz w:val="24"/>
        <w:szCs w:val="24"/>
      </w:rPr>
      <w:t>s enseignants</w:t>
    </w:r>
    <w:r w:rsidRPr="00716283">
      <w:rPr>
        <w:sz w:val="24"/>
        <w:szCs w:val="24"/>
      </w:rPr>
      <w:t> : Laetitia Driguez</w:t>
    </w:r>
    <w:r w:rsidR="00612C16" w:rsidRPr="00716283">
      <w:rPr>
        <w:sz w:val="24"/>
        <w:szCs w:val="24"/>
      </w:rPr>
      <w:t xml:space="preserve"> ISST</w:t>
    </w:r>
    <w:r w:rsidR="000B0F87">
      <w:rPr>
        <w:sz w:val="24"/>
        <w:szCs w:val="24"/>
      </w:rPr>
      <w:t>-Univ. Paris 1, Sabrina Mraouahi IDT-Univ. Strasbourg</w:t>
    </w:r>
  </w:p>
  <w:p w14:paraId="18E8F6D0" w14:textId="77777777" w:rsidR="00435DDE" w:rsidRDefault="00435DD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16246"/>
    <w:multiLevelType w:val="hybridMultilevel"/>
    <w:tmpl w:val="2A6A8758"/>
    <w:lvl w:ilvl="0" w:tplc="7F02075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2B7"/>
    <w:rsid w:val="00062676"/>
    <w:rsid w:val="00064302"/>
    <w:rsid w:val="000B0F87"/>
    <w:rsid w:val="000C17D0"/>
    <w:rsid w:val="000C7B62"/>
    <w:rsid w:val="000E52B5"/>
    <w:rsid w:val="000E5FA9"/>
    <w:rsid w:val="001032CD"/>
    <w:rsid w:val="00173F78"/>
    <w:rsid w:val="001A282D"/>
    <w:rsid w:val="001F3180"/>
    <w:rsid w:val="001F70CE"/>
    <w:rsid w:val="00204714"/>
    <w:rsid w:val="00284A40"/>
    <w:rsid w:val="002E71D6"/>
    <w:rsid w:val="002F5FAA"/>
    <w:rsid w:val="003212EA"/>
    <w:rsid w:val="003333DB"/>
    <w:rsid w:val="00344CA7"/>
    <w:rsid w:val="0034631F"/>
    <w:rsid w:val="00370905"/>
    <w:rsid w:val="00395DE4"/>
    <w:rsid w:val="003D6AE0"/>
    <w:rsid w:val="004176D7"/>
    <w:rsid w:val="00435DDE"/>
    <w:rsid w:val="0044035D"/>
    <w:rsid w:val="00494A98"/>
    <w:rsid w:val="00495B09"/>
    <w:rsid w:val="004A6D96"/>
    <w:rsid w:val="004B32B7"/>
    <w:rsid w:val="004D1C7A"/>
    <w:rsid w:val="004D5328"/>
    <w:rsid w:val="00517E88"/>
    <w:rsid w:val="005535FE"/>
    <w:rsid w:val="00557D1E"/>
    <w:rsid w:val="005600E5"/>
    <w:rsid w:val="005A6E5B"/>
    <w:rsid w:val="005F59E9"/>
    <w:rsid w:val="00612C16"/>
    <w:rsid w:val="00662EAD"/>
    <w:rsid w:val="006A2000"/>
    <w:rsid w:val="006B0A36"/>
    <w:rsid w:val="006B0E02"/>
    <w:rsid w:val="006B145D"/>
    <w:rsid w:val="006B474E"/>
    <w:rsid w:val="006E17AC"/>
    <w:rsid w:val="006E5956"/>
    <w:rsid w:val="006F2290"/>
    <w:rsid w:val="00716283"/>
    <w:rsid w:val="00741DB3"/>
    <w:rsid w:val="00747251"/>
    <w:rsid w:val="0077382A"/>
    <w:rsid w:val="0077488A"/>
    <w:rsid w:val="00795446"/>
    <w:rsid w:val="007A379F"/>
    <w:rsid w:val="007C5B21"/>
    <w:rsid w:val="007C630D"/>
    <w:rsid w:val="00806BC7"/>
    <w:rsid w:val="00835480"/>
    <w:rsid w:val="00862447"/>
    <w:rsid w:val="00865F1B"/>
    <w:rsid w:val="00893684"/>
    <w:rsid w:val="008C6047"/>
    <w:rsid w:val="008E1CA7"/>
    <w:rsid w:val="00962648"/>
    <w:rsid w:val="00993915"/>
    <w:rsid w:val="00997359"/>
    <w:rsid w:val="009A1777"/>
    <w:rsid w:val="009A7317"/>
    <w:rsid w:val="009D5041"/>
    <w:rsid w:val="00A77349"/>
    <w:rsid w:val="00A80235"/>
    <w:rsid w:val="00A862FB"/>
    <w:rsid w:val="00AD040D"/>
    <w:rsid w:val="00AD572E"/>
    <w:rsid w:val="00AD7E36"/>
    <w:rsid w:val="00B023B6"/>
    <w:rsid w:val="00B16AB7"/>
    <w:rsid w:val="00B3577B"/>
    <w:rsid w:val="00B7612B"/>
    <w:rsid w:val="00B83101"/>
    <w:rsid w:val="00BA0724"/>
    <w:rsid w:val="00BA0F19"/>
    <w:rsid w:val="00BD6877"/>
    <w:rsid w:val="00BE5D7E"/>
    <w:rsid w:val="00BE5F8C"/>
    <w:rsid w:val="00C14247"/>
    <w:rsid w:val="00C60089"/>
    <w:rsid w:val="00CD4893"/>
    <w:rsid w:val="00CE00F3"/>
    <w:rsid w:val="00CF6EBD"/>
    <w:rsid w:val="00D71F9F"/>
    <w:rsid w:val="00DE5E25"/>
    <w:rsid w:val="00E17376"/>
    <w:rsid w:val="00E77D23"/>
    <w:rsid w:val="00EB1BCC"/>
    <w:rsid w:val="00EC23FD"/>
    <w:rsid w:val="00F5396F"/>
    <w:rsid w:val="00F8413B"/>
    <w:rsid w:val="00F942C5"/>
    <w:rsid w:val="00F9473C"/>
    <w:rsid w:val="00FA30E4"/>
    <w:rsid w:val="00FF18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62160"/>
  <w15:docId w15:val="{E3843FE1-FB55-498B-A10C-5BB43176F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91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D6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D6877"/>
    <w:pPr>
      <w:tabs>
        <w:tab w:val="center" w:pos="4536"/>
        <w:tab w:val="right" w:pos="9072"/>
      </w:tabs>
      <w:spacing w:after="0" w:line="240" w:lineRule="auto"/>
    </w:pPr>
  </w:style>
  <w:style w:type="character" w:customStyle="1" w:styleId="En-tteCar">
    <w:name w:val="En-tête Car"/>
    <w:basedOn w:val="Policepardfaut"/>
    <w:link w:val="En-tte"/>
    <w:uiPriority w:val="99"/>
    <w:rsid w:val="00BD6877"/>
  </w:style>
  <w:style w:type="paragraph" w:styleId="Pieddepage">
    <w:name w:val="footer"/>
    <w:basedOn w:val="Normal"/>
    <w:link w:val="PieddepageCar"/>
    <w:uiPriority w:val="99"/>
    <w:unhideWhenUsed/>
    <w:rsid w:val="00BD68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6877"/>
  </w:style>
  <w:style w:type="paragraph" w:styleId="Paragraphedeliste">
    <w:name w:val="List Paragraph"/>
    <w:basedOn w:val="Normal"/>
    <w:uiPriority w:val="34"/>
    <w:qFormat/>
    <w:rsid w:val="009939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9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531</Words>
  <Characters>2921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Université Paris 1</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laetitia Driguez</dc:creator>
  <cp:lastModifiedBy>Laetitia Driguez</cp:lastModifiedBy>
  <cp:revision>6</cp:revision>
  <dcterms:created xsi:type="dcterms:W3CDTF">2024-10-07T06:52:00Z</dcterms:created>
  <dcterms:modified xsi:type="dcterms:W3CDTF">2024-10-07T07:04:00Z</dcterms:modified>
</cp:coreProperties>
</file>