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749A" w14:textId="344FEF09" w:rsidR="00113113" w:rsidRPr="00664BF7" w:rsidRDefault="005F5BAD">
      <w:pPr>
        <w:jc w:val="center"/>
        <w:rPr>
          <w:rFonts w:ascii="Garamond" w:hAnsi="Garamond"/>
          <w:b/>
          <w:bCs/>
          <w:sz w:val="22"/>
          <w:szCs w:val="22"/>
        </w:rPr>
      </w:pPr>
      <w:r w:rsidRPr="00664BF7">
        <w:rPr>
          <w:rFonts w:ascii="Garamond" w:hAnsi="Garamond"/>
          <w:b/>
          <w:bCs/>
          <w:sz w:val="22"/>
          <w:szCs w:val="22"/>
        </w:rPr>
        <w:t>Institut des Sciences Sociales du Travail</w:t>
      </w:r>
    </w:p>
    <w:p w14:paraId="71DBD386" w14:textId="4CC70F78" w:rsidR="00664BF7" w:rsidRPr="00664BF7" w:rsidRDefault="00664BF7" w:rsidP="00664BF7">
      <w:pPr>
        <w:jc w:val="center"/>
        <w:rPr>
          <w:rFonts w:ascii="Garamond" w:hAnsi="Garamond" w:cs="Arial"/>
          <w:b/>
          <w:bCs/>
          <w:sz w:val="22"/>
          <w:szCs w:val="22"/>
        </w:rPr>
      </w:pPr>
      <w:r w:rsidRPr="00664BF7">
        <w:rPr>
          <w:rFonts w:ascii="Garamond" w:hAnsi="Garamond" w:cs="Arial"/>
          <w:b/>
          <w:bCs/>
          <w:sz w:val="22"/>
          <w:szCs w:val="22"/>
        </w:rPr>
        <w:t>Stage FO</w:t>
      </w:r>
      <w:r w:rsidR="005C205C">
        <w:rPr>
          <w:rFonts w:ascii="Garamond" w:hAnsi="Garamond" w:cs="Arial"/>
          <w:b/>
          <w:bCs/>
          <w:sz w:val="22"/>
          <w:szCs w:val="22"/>
        </w:rPr>
        <w:t xml:space="preserve"> – Actualités juridiques</w:t>
      </w:r>
    </w:p>
    <w:p w14:paraId="2A9EE986" w14:textId="60FF99E3" w:rsidR="00664BF7" w:rsidRPr="00664BF7" w:rsidRDefault="008F3C1E" w:rsidP="00664BF7">
      <w:pPr>
        <w:jc w:val="center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11-15 mars 2024</w:t>
      </w:r>
    </w:p>
    <w:p w14:paraId="2D543AD0" w14:textId="7CC9B61D" w:rsidR="005C205C" w:rsidRDefault="004746FD" w:rsidP="00664BF7">
      <w:pPr>
        <w:jc w:val="center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Responsables enseignants</w:t>
      </w:r>
      <w:r w:rsidR="00664BF7" w:rsidRPr="00664BF7">
        <w:rPr>
          <w:rFonts w:ascii="Garamond" w:hAnsi="Garamond" w:cs="Arial"/>
          <w:b/>
          <w:bCs/>
          <w:sz w:val="22"/>
          <w:szCs w:val="22"/>
        </w:rPr>
        <w:t xml:space="preserve"> : </w:t>
      </w:r>
      <w:r w:rsidR="005C205C">
        <w:rPr>
          <w:rFonts w:ascii="Garamond" w:hAnsi="Garamond" w:cs="Arial"/>
          <w:b/>
          <w:bCs/>
          <w:sz w:val="22"/>
          <w:szCs w:val="22"/>
        </w:rPr>
        <w:t>Christophe Vigneau et</w:t>
      </w:r>
      <w:r w:rsidR="00664BF7" w:rsidRPr="00664BF7">
        <w:rPr>
          <w:rFonts w:ascii="Garamond" w:hAnsi="Garamond" w:cs="Arial"/>
          <w:b/>
          <w:bCs/>
          <w:sz w:val="22"/>
          <w:szCs w:val="22"/>
        </w:rPr>
        <w:t xml:space="preserve"> </w:t>
      </w:r>
      <w:r w:rsidRPr="00664BF7">
        <w:rPr>
          <w:rFonts w:ascii="Garamond" w:hAnsi="Garamond" w:cs="Arial"/>
          <w:b/>
          <w:bCs/>
          <w:sz w:val="22"/>
          <w:szCs w:val="22"/>
        </w:rPr>
        <w:t>Clémence</w:t>
      </w:r>
      <w:r w:rsidR="00664BF7" w:rsidRPr="00664BF7">
        <w:rPr>
          <w:rFonts w:ascii="Garamond" w:hAnsi="Garamond" w:cs="Arial"/>
          <w:b/>
          <w:bCs/>
          <w:sz w:val="22"/>
          <w:szCs w:val="22"/>
        </w:rPr>
        <w:t xml:space="preserve"> Yuste Villamayor (ISST),</w:t>
      </w:r>
    </w:p>
    <w:p w14:paraId="2D71813D" w14:textId="4BB28BC3" w:rsidR="00664BF7" w:rsidRPr="00664BF7" w:rsidRDefault="00664BF7" w:rsidP="00664BF7">
      <w:pPr>
        <w:jc w:val="center"/>
        <w:rPr>
          <w:rFonts w:ascii="Garamond" w:hAnsi="Garamond" w:cs="Arial"/>
          <w:b/>
          <w:bCs/>
          <w:sz w:val="22"/>
          <w:szCs w:val="22"/>
        </w:rPr>
      </w:pPr>
      <w:r w:rsidRPr="00664BF7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5C205C">
        <w:rPr>
          <w:rFonts w:ascii="Garamond" w:hAnsi="Garamond" w:cs="Arial"/>
          <w:b/>
          <w:bCs/>
          <w:sz w:val="22"/>
          <w:szCs w:val="22"/>
        </w:rPr>
        <w:t>Responsable</w:t>
      </w:r>
      <w:r w:rsidR="004746FD">
        <w:rPr>
          <w:rFonts w:ascii="Garamond" w:hAnsi="Garamond" w:cs="Arial"/>
          <w:b/>
          <w:bCs/>
          <w:sz w:val="22"/>
          <w:szCs w:val="22"/>
        </w:rPr>
        <w:t xml:space="preserve"> syndicale</w:t>
      </w:r>
      <w:r w:rsidR="005C205C">
        <w:rPr>
          <w:rFonts w:ascii="Garamond" w:hAnsi="Garamond" w:cs="Arial"/>
          <w:b/>
          <w:bCs/>
          <w:sz w:val="22"/>
          <w:szCs w:val="22"/>
        </w:rPr>
        <w:t> : Patricia D</w:t>
      </w:r>
      <w:r w:rsidR="0073639B">
        <w:rPr>
          <w:rFonts w:ascii="Garamond" w:hAnsi="Garamond" w:cs="Arial"/>
          <w:b/>
          <w:bCs/>
          <w:sz w:val="22"/>
          <w:szCs w:val="22"/>
        </w:rPr>
        <w:t>r</w:t>
      </w:r>
      <w:r w:rsidR="005C205C">
        <w:rPr>
          <w:rFonts w:ascii="Garamond" w:hAnsi="Garamond" w:cs="Arial"/>
          <w:b/>
          <w:bCs/>
          <w:sz w:val="22"/>
          <w:szCs w:val="22"/>
        </w:rPr>
        <w:t>evon ; Référent s</w:t>
      </w:r>
      <w:r w:rsidR="004746FD">
        <w:rPr>
          <w:rFonts w:ascii="Garamond" w:hAnsi="Garamond" w:cs="Arial"/>
          <w:b/>
          <w:bCs/>
          <w:sz w:val="22"/>
          <w:szCs w:val="22"/>
        </w:rPr>
        <w:t xml:space="preserve">yndical </w:t>
      </w:r>
      <w:r w:rsidR="005C205C">
        <w:rPr>
          <w:rFonts w:ascii="Garamond" w:hAnsi="Garamond" w:cs="Arial"/>
          <w:b/>
          <w:bCs/>
          <w:sz w:val="22"/>
          <w:szCs w:val="22"/>
        </w:rPr>
        <w:t xml:space="preserve">: Ghislaine Ferreira </w:t>
      </w:r>
    </w:p>
    <w:p w14:paraId="6C08A3FA" w14:textId="77777777" w:rsidR="00664BF7" w:rsidRPr="00664BF7" w:rsidRDefault="00664BF7" w:rsidP="00664BF7">
      <w:pPr>
        <w:rPr>
          <w:rFonts w:ascii="Garamond" w:hAnsi="Garamond" w:cs="Arial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2770"/>
        <w:gridCol w:w="2844"/>
        <w:gridCol w:w="2874"/>
      </w:tblGrid>
      <w:tr w:rsidR="00664BF7" w:rsidRPr="00664BF7" w14:paraId="51A9D6AC" w14:textId="77777777" w:rsidTr="00986E61">
        <w:trPr>
          <w:trHeight w:val="5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793CD" w14:textId="0F5C67F2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Lundi </w:t>
            </w:r>
            <w:r w:rsidR="005C205C">
              <w:rPr>
                <w:rFonts w:ascii="Garamond" w:hAnsi="Garamond" w:cs="Arial"/>
                <w:b/>
                <w:bCs/>
                <w:sz w:val="22"/>
                <w:szCs w:val="22"/>
              </w:rPr>
              <w:t>11 mars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DDB31" w14:textId="1646D262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Mardi </w:t>
            </w:r>
            <w:r w:rsidR="005C205C">
              <w:rPr>
                <w:rFonts w:ascii="Garamond" w:hAnsi="Garamond" w:cs="Arial"/>
                <w:b/>
                <w:bCs/>
                <w:sz w:val="22"/>
                <w:szCs w:val="22"/>
              </w:rPr>
              <w:t>12 mars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EB7B9" w14:textId="1E8FFBB4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Mercredi </w:t>
            </w:r>
            <w:r w:rsidR="005C205C">
              <w:rPr>
                <w:rFonts w:ascii="Garamond" w:hAnsi="Garamond" w:cs="Arial"/>
                <w:b/>
                <w:bCs/>
                <w:sz w:val="22"/>
                <w:szCs w:val="22"/>
              </w:rPr>
              <w:t>13 mars</w:t>
            </w: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B14A4" w14:textId="1025EF74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Jeudi </w:t>
            </w:r>
            <w:r w:rsidR="005C205C">
              <w:rPr>
                <w:rFonts w:ascii="Garamond" w:hAnsi="Garamond" w:cs="Arial"/>
                <w:b/>
                <w:bCs/>
                <w:sz w:val="22"/>
                <w:szCs w:val="22"/>
              </w:rPr>
              <w:t>14 mars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3A8A7" w14:textId="6A6E979E" w:rsidR="00664BF7" w:rsidRPr="00664BF7" w:rsidRDefault="00664BF7" w:rsidP="00986E6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Vendredi </w:t>
            </w:r>
            <w:r w:rsidR="005C205C">
              <w:rPr>
                <w:rFonts w:ascii="Garamond" w:hAnsi="Garamond" w:cs="Arial"/>
                <w:b/>
                <w:bCs/>
                <w:sz w:val="22"/>
                <w:szCs w:val="22"/>
              </w:rPr>
              <w:t>15 mars</w:t>
            </w:r>
          </w:p>
        </w:tc>
      </w:tr>
      <w:tr w:rsidR="00664BF7" w:rsidRPr="00664BF7" w14:paraId="73DE688C" w14:textId="77777777" w:rsidTr="00986E61">
        <w:trPr>
          <w:trHeight w:val="363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73AD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9h00</w:t>
            </w:r>
          </w:p>
          <w:p w14:paraId="626BA2F7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Accueil</w:t>
            </w:r>
          </w:p>
          <w:p w14:paraId="5657C5F4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67F7E383" w14:textId="7FCFBBD7" w:rsidR="00664BF7" w:rsidRPr="00664BF7" w:rsidRDefault="00664BF7" w:rsidP="004746FD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Présentation du stage </w:t>
            </w:r>
          </w:p>
          <w:p w14:paraId="2BE00863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4CAE8020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---</w:t>
            </w:r>
          </w:p>
          <w:p w14:paraId="5D763460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304DB505" w14:textId="77777777" w:rsidR="00664BF7" w:rsidRDefault="005C205C" w:rsidP="005C205C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Initiative et imputabilité de la rupture du contrat de travail </w:t>
            </w:r>
          </w:p>
          <w:p w14:paraId="30265890" w14:textId="77777777" w:rsidR="0073639B" w:rsidRDefault="0073639B" w:rsidP="005C205C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7C284746" w14:textId="6954376F" w:rsidR="0073639B" w:rsidRPr="00664BF7" w:rsidRDefault="0073639B" w:rsidP="0073639B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Christophe Vigneau </w:t>
            </w: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(ISST)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305B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9h00</w:t>
            </w:r>
          </w:p>
          <w:p w14:paraId="1CA2EA81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310B095E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0F731EF6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5A4D54AA" w14:textId="4D40C979" w:rsidR="00664BF7" w:rsidRPr="00664BF7" w:rsidRDefault="0096381B" w:rsidP="00986E6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5C205C"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Les modes de rupture à l’initiative du salarié (suite) : la démission, la prise d’acte et la résiliation judiciaire</w:t>
            </w:r>
          </w:p>
          <w:p w14:paraId="63B5D0ED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i/>
                <w:iCs/>
                <w:sz w:val="22"/>
                <w:szCs w:val="22"/>
              </w:rPr>
            </w:pPr>
          </w:p>
          <w:p w14:paraId="511D05C3" w14:textId="50E4A4C9" w:rsidR="00664BF7" w:rsidRPr="00664BF7" w:rsidRDefault="0073639B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Clémence Yuste Villamayor (ISST)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F8BB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9h00</w:t>
            </w:r>
          </w:p>
          <w:p w14:paraId="12BD178C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</w:p>
          <w:p w14:paraId="7B3D01C4" w14:textId="77777777" w:rsidR="00664BF7" w:rsidRPr="00664BF7" w:rsidRDefault="00664BF7" w:rsidP="00986E6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6E79A6F9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2F2FEB5F" w14:textId="2BD99BE7" w:rsidR="005C205C" w:rsidRDefault="00AE5A6D" w:rsidP="00986E61">
            <w:pPr>
              <w:pStyle w:val="Corpsdetexte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Histoire et actualités de la grève</w:t>
            </w:r>
          </w:p>
          <w:p w14:paraId="37DB9754" w14:textId="77777777" w:rsidR="005C205C" w:rsidRDefault="005C205C" w:rsidP="00986E61">
            <w:pPr>
              <w:pStyle w:val="Corpsdetexte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C079884" w14:textId="3E9E8955" w:rsidR="00664BF7" w:rsidRPr="004746FD" w:rsidRDefault="00D76648" w:rsidP="00986E61">
            <w:pPr>
              <w:pStyle w:val="Corpsdetexte"/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Intervention de </w:t>
            </w:r>
            <w:r w:rsidR="005C205C" w:rsidRPr="004746FD">
              <w:rPr>
                <w:rFonts w:ascii="Garamond" w:hAnsi="Garamond" w:cs="Arial"/>
                <w:bCs/>
                <w:sz w:val="22"/>
                <w:szCs w:val="22"/>
              </w:rPr>
              <w:t>Gabriel Rosenman</w:t>
            </w:r>
            <w:r>
              <w:rPr>
                <w:rFonts w:ascii="Garamond" w:hAnsi="Garamond" w:cs="Arial"/>
                <w:bCs/>
                <w:sz w:val="22"/>
                <w:szCs w:val="22"/>
              </w:rPr>
              <w:t xml:space="preserve"> (ISST)</w:t>
            </w:r>
          </w:p>
          <w:p w14:paraId="5A72D5BF" w14:textId="77777777" w:rsidR="00664BF7" w:rsidRPr="00664BF7" w:rsidRDefault="00664BF7" w:rsidP="00986E61">
            <w:pPr>
              <w:rPr>
                <w:rFonts w:ascii="Garamond" w:hAnsi="Garamond" w:cs="Arial"/>
                <w:i/>
                <w:iCs/>
                <w:sz w:val="22"/>
                <w:szCs w:val="22"/>
              </w:rPr>
            </w:pPr>
          </w:p>
          <w:p w14:paraId="027ED968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i/>
                <w:iCs/>
                <w:sz w:val="22"/>
                <w:szCs w:val="22"/>
              </w:rPr>
            </w:pPr>
          </w:p>
          <w:p w14:paraId="5767162A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A299F" w14:textId="53C974BD" w:rsidR="00664BF7" w:rsidRPr="00664BF7" w:rsidRDefault="00664BF7" w:rsidP="00986E61">
            <w:pPr>
              <w:jc w:val="center"/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9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h</w:t>
            </w: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00</w:t>
            </w:r>
          </w:p>
          <w:p w14:paraId="6EAB7381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i/>
                <w:iCs/>
                <w:sz w:val="22"/>
                <w:szCs w:val="22"/>
              </w:rPr>
            </w:pPr>
          </w:p>
          <w:p w14:paraId="427B054A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0486B13E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3E4A4455" w14:textId="6ECABEC0" w:rsidR="00664BF7" w:rsidRPr="00664BF7" w:rsidRDefault="005C205C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Travaux pratique</w:t>
            </w:r>
            <w:r w:rsidR="004746FD">
              <w:rPr>
                <w:rFonts w:ascii="Garamond" w:hAnsi="Garamond" w:cs="Arial"/>
                <w:b/>
                <w:bCs/>
                <w:sz w:val="22"/>
                <w:szCs w:val="22"/>
              </w:rPr>
              <w:t>s</w:t>
            </w:r>
          </w:p>
          <w:p w14:paraId="422C3C2F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360D9F9B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43B0D08E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713DA9DB" w14:textId="77777777" w:rsidR="00664BF7" w:rsidRPr="00664BF7" w:rsidRDefault="00664BF7" w:rsidP="00986E6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2154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9h00</w:t>
            </w:r>
          </w:p>
          <w:p w14:paraId="4ACD8D93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4ABD161F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</w:t>
            </w:r>
          </w:p>
          <w:p w14:paraId="5306754F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39CF2D91" w14:textId="41A80626" w:rsidR="00664BF7" w:rsidRPr="00664BF7" w:rsidRDefault="005C205C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Les lanceurs d’alerte (statut et protection)</w:t>
            </w:r>
          </w:p>
          <w:p w14:paraId="5C13F3A8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04776806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</w:tr>
      <w:tr w:rsidR="00664BF7" w:rsidRPr="00664BF7" w14:paraId="5F0A60B6" w14:textId="77777777" w:rsidTr="00664BF7">
        <w:trPr>
          <w:trHeight w:val="266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AFCE" w14:textId="77777777" w:rsidR="00664BF7" w:rsidRPr="00664BF7" w:rsidRDefault="00664BF7" w:rsidP="00986E61">
            <w:pPr>
              <w:snapToGrid w:val="0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432E4FDF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14h00</w:t>
            </w:r>
          </w:p>
          <w:p w14:paraId="62BAF647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3986DA95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05F6B430" w14:textId="77777777" w:rsidR="00664BF7" w:rsidRDefault="005C205C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Les modes de rupture à l’initiative du salarié : l’abandon de poste du salarié ; </w:t>
            </w:r>
            <w:r w:rsidR="004746FD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la 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rupture conventionnelle </w:t>
            </w:r>
          </w:p>
          <w:p w14:paraId="646B4324" w14:textId="77777777" w:rsidR="0073639B" w:rsidRDefault="0073639B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41BFB2ED" w14:textId="01FBB4A4" w:rsidR="0073639B" w:rsidRPr="00664BF7" w:rsidRDefault="0073639B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Clémence Yuste Villamayor (ISST)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004C9" w14:textId="77777777" w:rsidR="00664BF7" w:rsidRPr="00664BF7" w:rsidRDefault="00664BF7" w:rsidP="00986E61">
            <w:pPr>
              <w:snapToGrid w:val="0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1D04994B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14h00</w:t>
            </w:r>
          </w:p>
          <w:p w14:paraId="57EBBAC5" w14:textId="77777777" w:rsidR="00664BF7" w:rsidRPr="00664BF7" w:rsidRDefault="00664BF7" w:rsidP="009638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7187B71F" w14:textId="77777777" w:rsidR="005C205C" w:rsidRPr="00664BF7" w:rsidRDefault="005C205C" w:rsidP="005C205C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iCs/>
                <w:sz w:val="22"/>
                <w:szCs w:val="22"/>
              </w:rPr>
              <w:t>Les modes de rupture à l’initiative du salarié (suite) : la démission, la prise d’acte et la résiliation judiciaire</w:t>
            </w:r>
          </w:p>
          <w:p w14:paraId="07E20C18" w14:textId="77777777" w:rsidR="0073639B" w:rsidRDefault="0073639B" w:rsidP="005C205C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7E891632" w14:textId="6E92916E" w:rsidR="005C205C" w:rsidRPr="00664BF7" w:rsidRDefault="0073639B" w:rsidP="005C205C">
            <w:pPr>
              <w:jc w:val="center"/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Clémence Yuste Villamayor (ISST)</w:t>
            </w:r>
          </w:p>
          <w:p w14:paraId="08CF4833" w14:textId="77777777" w:rsidR="00664BF7" w:rsidRPr="00664BF7" w:rsidRDefault="00664BF7" w:rsidP="00AE5A6D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18553" w14:textId="77777777" w:rsidR="00664BF7" w:rsidRPr="00664BF7" w:rsidRDefault="00664BF7" w:rsidP="00986E61">
            <w:pPr>
              <w:snapToGrid w:val="0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22348EDB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14h00</w:t>
            </w:r>
          </w:p>
          <w:p w14:paraId="5882C204" w14:textId="77777777" w:rsidR="00664BF7" w:rsidRPr="00664BF7" w:rsidRDefault="00664BF7" w:rsidP="0096381B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2B59F1B7" w14:textId="15C12669" w:rsidR="00664BF7" w:rsidRPr="00664BF7" w:rsidRDefault="00D76648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L</w:t>
            </w:r>
            <w:r w:rsidR="005C205C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e </w:t>
            </w: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cadre </w:t>
            </w:r>
            <w:r w:rsidR="005C205C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juridique de la grève </w:t>
            </w:r>
          </w:p>
          <w:p w14:paraId="349AC04A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2FCFA350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</w:p>
          <w:p w14:paraId="4BB8F207" w14:textId="4C253D6E" w:rsidR="00664BF7" w:rsidRPr="00664BF7" w:rsidRDefault="0073639B" w:rsidP="00986E61">
            <w:pPr>
              <w:rPr>
                <w:rFonts w:ascii="Garamond" w:hAnsi="Garamond" w:cs="Times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Christophe Vigneau </w:t>
            </w: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(ISST)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9D8B4" w14:textId="77777777" w:rsidR="00664BF7" w:rsidRPr="00664BF7" w:rsidRDefault="00664BF7" w:rsidP="00986E61">
            <w:pPr>
              <w:snapToGrid w:val="0"/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0D6B22EC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>14h00</w:t>
            </w:r>
          </w:p>
          <w:p w14:paraId="1DA7A406" w14:textId="77777777" w:rsidR="00664BF7" w:rsidRPr="00664BF7" w:rsidRDefault="00664BF7" w:rsidP="0096381B">
            <w:pPr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</w:p>
          <w:p w14:paraId="434C3EAA" w14:textId="7304CB46" w:rsidR="00664BF7" w:rsidRPr="00664BF7" w:rsidRDefault="005C205C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Travaux pratique</w:t>
            </w:r>
            <w:r w:rsidR="004746FD">
              <w:rPr>
                <w:rFonts w:ascii="Garamond" w:hAnsi="Garamond" w:cs="Arial"/>
                <w:b/>
                <w:bCs/>
                <w:sz w:val="22"/>
                <w:szCs w:val="22"/>
              </w:rPr>
              <w:t>s</w:t>
            </w:r>
          </w:p>
          <w:p w14:paraId="5F0CDA58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</w:p>
          <w:p w14:paraId="0B2152F7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846B7" w14:textId="77777777" w:rsidR="0096381B" w:rsidRDefault="0096381B" w:rsidP="00986E61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  <w:p w14:paraId="18787DE9" w14:textId="1B30CF2A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  <w:r w:rsidRPr="00664BF7"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Bilan du stage </w:t>
            </w:r>
          </w:p>
          <w:p w14:paraId="6183259D" w14:textId="77777777" w:rsidR="00664BF7" w:rsidRPr="00664BF7" w:rsidRDefault="00664BF7" w:rsidP="00986E61">
            <w:pPr>
              <w:jc w:val="center"/>
              <w:rPr>
                <w:rFonts w:ascii="Garamond" w:hAnsi="Garamond" w:cs="Arial"/>
                <w:b/>
                <w:bCs/>
                <w:i/>
                <w:iCs/>
                <w:sz w:val="22"/>
                <w:szCs w:val="22"/>
              </w:rPr>
            </w:pPr>
          </w:p>
          <w:p w14:paraId="7F46ED4B" w14:textId="77777777" w:rsidR="00664BF7" w:rsidRPr="00664BF7" w:rsidRDefault="00664BF7" w:rsidP="00986E61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9920522" w14:textId="1BA899C6" w:rsidR="00664BF7" w:rsidRDefault="0073639B" w:rsidP="00D76648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lastRenderedPageBreak/>
        <w:t>Grille n°1</w:t>
      </w:r>
    </w:p>
    <w:p w14:paraId="3D931DBB" w14:textId="77777777" w:rsidR="00AE5A6D" w:rsidRDefault="00AE5A6D" w:rsidP="00D76648">
      <w:pPr>
        <w:rPr>
          <w:rFonts w:ascii="Garamond" w:hAnsi="Garamond"/>
          <w:b/>
          <w:bCs/>
          <w:sz w:val="22"/>
          <w:szCs w:val="22"/>
        </w:rPr>
      </w:pPr>
    </w:p>
    <w:p w14:paraId="548FE579" w14:textId="6DCED005" w:rsidR="00231090" w:rsidRDefault="00231090" w:rsidP="00D76648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Public : </w:t>
      </w:r>
      <w:r w:rsidRPr="00231090">
        <w:rPr>
          <w:rFonts w:ascii="Garamond" w:hAnsi="Garamond"/>
          <w:sz w:val="22"/>
          <w:szCs w:val="22"/>
        </w:rPr>
        <w:t xml:space="preserve">Ce stage s’adresse aux militants public/privé (défenseurs…). </w:t>
      </w:r>
    </w:p>
    <w:p w14:paraId="0B1EFB42" w14:textId="77777777" w:rsidR="00231090" w:rsidRDefault="00231090" w:rsidP="00D76648">
      <w:pPr>
        <w:rPr>
          <w:rFonts w:ascii="Garamond" w:hAnsi="Garamond"/>
          <w:b/>
          <w:bCs/>
          <w:sz w:val="22"/>
          <w:szCs w:val="22"/>
        </w:rPr>
      </w:pPr>
    </w:p>
    <w:p w14:paraId="4D63DE51" w14:textId="77777777" w:rsidR="00231090" w:rsidRDefault="00231090" w:rsidP="00D7664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Thématiques : </w:t>
      </w:r>
      <w:r>
        <w:rPr>
          <w:rFonts w:ascii="Garamond" w:hAnsi="Garamond"/>
          <w:sz w:val="22"/>
          <w:szCs w:val="22"/>
        </w:rPr>
        <w:t xml:space="preserve">Ce stage a pour objet une mise à jour des connaissances sur </w:t>
      </w:r>
      <w:r w:rsidRPr="00231090">
        <w:rPr>
          <w:rFonts w:ascii="Garamond" w:hAnsi="Garamond"/>
          <w:sz w:val="22"/>
          <w:szCs w:val="22"/>
        </w:rPr>
        <w:t xml:space="preserve">plusieurs thématiques. </w:t>
      </w:r>
    </w:p>
    <w:p w14:paraId="49C03119" w14:textId="77777777" w:rsidR="00231090" w:rsidRDefault="00231090" w:rsidP="00D76648">
      <w:pPr>
        <w:rPr>
          <w:rFonts w:ascii="Garamond" w:hAnsi="Garamond"/>
          <w:sz w:val="22"/>
          <w:szCs w:val="22"/>
        </w:rPr>
      </w:pPr>
    </w:p>
    <w:p w14:paraId="2AC3554F" w14:textId="790775A8" w:rsidR="00231090" w:rsidRDefault="00231090" w:rsidP="005C7F05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Les </w:t>
      </w:r>
      <w:r w:rsidRPr="005C7F05">
        <w:rPr>
          <w:rFonts w:ascii="Garamond" w:hAnsi="Garamond"/>
          <w:sz w:val="22"/>
          <w:szCs w:val="22"/>
          <w:u w:val="single"/>
        </w:rPr>
        <w:t>interventions</w:t>
      </w:r>
      <w:r>
        <w:rPr>
          <w:rFonts w:ascii="Garamond" w:hAnsi="Garamond"/>
          <w:sz w:val="22"/>
          <w:szCs w:val="22"/>
        </w:rPr>
        <w:t> :</w:t>
      </w:r>
    </w:p>
    <w:p w14:paraId="4CB22258" w14:textId="77777777" w:rsidR="00231090" w:rsidRDefault="00231090" w:rsidP="00D76648">
      <w:pPr>
        <w:rPr>
          <w:rFonts w:ascii="Garamond" w:hAnsi="Garamond"/>
          <w:sz w:val="22"/>
          <w:szCs w:val="22"/>
        </w:rPr>
      </w:pPr>
    </w:p>
    <w:p w14:paraId="67EDB9D5" w14:textId="7623E69A" w:rsidR="00D81850" w:rsidRDefault="00D81850" w:rsidP="005C7F05">
      <w:pPr>
        <w:jc w:val="both"/>
        <w:rPr>
          <w:rFonts w:ascii="Garamond" w:hAnsi="Garamond"/>
          <w:sz w:val="22"/>
          <w:szCs w:val="22"/>
        </w:rPr>
      </w:pPr>
      <w:r w:rsidRPr="00D81850">
        <w:rPr>
          <w:rFonts w:ascii="Garamond" w:hAnsi="Garamond"/>
          <w:b/>
          <w:bCs/>
          <w:sz w:val="22"/>
          <w:szCs w:val="22"/>
        </w:rPr>
        <w:t xml:space="preserve">La première thématique abordée portera sur les modes de rupture </w:t>
      </w:r>
      <w:r w:rsidR="00231090" w:rsidRPr="00D81850">
        <w:rPr>
          <w:rFonts w:ascii="Garamond" w:hAnsi="Garamond"/>
          <w:b/>
          <w:bCs/>
          <w:sz w:val="22"/>
          <w:szCs w:val="22"/>
        </w:rPr>
        <w:t xml:space="preserve">à l’initiative </w:t>
      </w:r>
      <w:r w:rsidR="00732891">
        <w:rPr>
          <w:rFonts w:ascii="Garamond" w:hAnsi="Garamond"/>
          <w:b/>
          <w:bCs/>
          <w:sz w:val="22"/>
          <w:szCs w:val="22"/>
        </w:rPr>
        <w:t>ou impliquant l</w:t>
      </w:r>
      <w:r w:rsidR="00231090" w:rsidRPr="00D81850">
        <w:rPr>
          <w:rFonts w:ascii="Garamond" w:hAnsi="Garamond"/>
          <w:b/>
          <w:bCs/>
          <w:sz w:val="22"/>
          <w:szCs w:val="22"/>
        </w:rPr>
        <w:t>es salariés.</w:t>
      </w:r>
      <w:r w:rsidR="00231090">
        <w:rPr>
          <w:rFonts w:ascii="Garamond" w:hAnsi="Garamond"/>
          <w:sz w:val="22"/>
          <w:szCs w:val="22"/>
        </w:rPr>
        <w:t xml:space="preserve"> A cette fin, il s’agira </w:t>
      </w:r>
      <w:r>
        <w:rPr>
          <w:rFonts w:ascii="Garamond" w:hAnsi="Garamond"/>
          <w:sz w:val="22"/>
          <w:szCs w:val="22"/>
        </w:rPr>
        <w:t>d’étudier</w:t>
      </w:r>
      <w:r w:rsidR="00231090">
        <w:rPr>
          <w:rFonts w:ascii="Garamond" w:hAnsi="Garamond"/>
          <w:sz w:val="22"/>
          <w:szCs w:val="22"/>
        </w:rPr>
        <w:t xml:space="preserve"> la distinction entre l’initiative et l’imputabilité de la rupture, deux notions </w:t>
      </w:r>
      <w:r w:rsidR="00E63C52">
        <w:rPr>
          <w:rFonts w:ascii="Garamond" w:hAnsi="Garamond"/>
          <w:sz w:val="22"/>
          <w:szCs w:val="22"/>
        </w:rPr>
        <w:t xml:space="preserve">importantes </w:t>
      </w:r>
      <w:r w:rsidR="00231090">
        <w:rPr>
          <w:rFonts w:ascii="Garamond" w:hAnsi="Garamond"/>
          <w:sz w:val="22"/>
          <w:szCs w:val="22"/>
        </w:rPr>
        <w:t xml:space="preserve">qui peuvent se confondre mais également se distinguer en </w:t>
      </w:r>
      <w:r w:rsidR="00E63C52">
        <w:rPr>
          <w:rFonts w:ascii="Garamond" w:hAnsi="Garamond"/>
          <w:sz w:val="22"/>
          <w:szCs w:val="22"/>
        </w:rPr>
        <w:t xml:space="preserve">la </w:t>
      </w:r>
      <w:r w:rsidR="00231090">
        <w:rPr>
          <w:rFonts w:ascii="Garamond" w:hAnsi="Garamond"/>
          <w:sz w:val="22"/>
          <w:szCs w:val="22"/>
        </w:rPr>
        <w:t xml:space="preserve">matière. </w:t>
      </w:r>
    </w:p>
    <w:p w14:paraId="44AC272B" w14:textId="77777777" w:rsidR="00D81850" w:rsidRDefault="00D81850" w:rsidP="005C7F05">
      <w:pPr>
        <w:jc w:val="both"/>
        <w:rPr>
          <w:rFonts w:ascii="Garamond" w:hAnsi="Garamond"/>
          <w:sz w:val="22"/>
          <w:szCs w:val="22"/>
        </w:rPr>
      </w:pPr>
    </w:p>
    <w:p w14:paraId="72E1A26B" w14:textId="2C340C3F" w:rsidR="00AB44D5" w:rsidRDefault="00231090" w:rsidP="005C7F0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 suite, l’intervention visera à analyser les cadres juridiques actuels de chaque mode de rupture à l’initiative</w:t>
      </w:r>
      <w:r w:rsidR="00732891">
        <w:rPr>
          <w:rFonts w:ascii="Garamond" w:hAnsi="Garamond"/>
          <w:sz w:val="22"/>
          <w:szCs w:val="22"/>
        </w:rPr>
        <w:t xml:space="preserve"> </w:t>
      </w:r>
      <w:r w:rsidR="00E63C52">
        <w:rPr>
          <w:rFonts w:ascii="Garamond" w:hAnsi="Garamond"/>
          <w:sz w:val="22"/>
          <w:szCs w:val="22"/>
        </w:rPr>
        <w:t>du</w:t>
      </w:r>
      <w:r>
        <w:rPr>
          <w:rFonts w:ascii="Garamond" w:hAnsi="Garamond"/>
          <w:sz w:val="22"/>
          <w:szCs w:val="22"/>
        </w:rPr>
        <w:t xml:space="preserve"> salarié</w:t>
      </w:r>
      <w:r w:rsidR="00E63C52">
        <w:rPr>
          <w:rFonts w:ascii="Garamond" w:hAnsi="Garamond"/>
          <w:sz w:val="22"/>
          <w:szCs w:val="22"/>
        </w:rPr>
        <w:t xml:space="preserve"> ou impliquant celui-ci</w:t>
      </w:r>
      <w:r>
        <w:rPr>
          <w:rFonts w:ascii="Garamond" w:hAnsi="Garamond"/>
          <w:sz w:val="22"/>
          <w:szCs w:val="22"/>
        </w:rPr>
        <w:t xml:space="preserve"> </w:t>
      </w:r>
      <w:r w:rsidR="000E4E6B">
        <w:rPr>
          <w:rFonts w:ascii="Garamond" w:hAnsi="Garamond"/>
          <w:sz w:val="22"/>
          <w:szCs w:val="22"/>
        </w:rPr>
        <w:t xml:space="preserve">(les conditions, les conséquences sur le contrat de travail) </w:t>
      </w:r>
      <w:r>
        <w:rPr>
          <w:rFonts w:ascii="Garamond" w:hAnsi="Garamond"/>
          <w:sz w:val="22"/>
          <w:szCs w:val="22"/>
        </w:rPr>
        <w:t xml:space="preserve">mais également leurs </w:t>
      </w:r>
      <w:r w:rsidR="00D81850">
        <w:rPr>
          <w:rFonts w:ascii="Garamond" w:hAnsi="Garamond"/>
          <w:sz w:val="22"/>
          <w:szCs w:val="22"/>
        </w:rPr>
        <w:t>frontières</w:t>
      </w:r>
      <w:r w:rsidR="00732891">
        <w:rPr>
          <w:rFonts w:ascii="Garamond" w:hAnsi="Garamond"/>
          <w:sz w:val="22"/>
          <w:szCs w:val="22"/>
        </w:rPr>
        <w:t xml:space="preserve"> </w:t>
      </w:r>
      <w:r w:rsidR="00D81850">
        <w:rPr>
          <w:rFonts w:ascii="Garamond" w:hAnsi="Garamond"/>
          <w:sz w:val="22"/>
          <w:szCs w:val="22"/>
        </w:rPr>
        <w:t xml:space="preserve">entre eux </w:t>
      </w:r>
      <w:r w:rsidR="00E63C52">
        <w:rPr>
          <w:rFonts w:ascii="Garamond" w:hAnsi="Garamond"/>
          <w:sz w:val="22"/>
          <w:szCs w:val="22"/>
        </w:rPr>
        <w:t>ainsi qu’</w:t>
      </w:r>
      <w:r w:rsidR="00D81850">
        <w:rPr>
          <w:rFonts w:ascii="Garamond" w:hAnsi="Garamond"/>
          <w:sz w:val="22"/>
          <w:szCs w:val="22"/>
        </w:rPr>
        <w:t>avec d’autres outils (tels que la transaction).</w:t>
      </w:r>
      <w:r w:rsidR="00AB44D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Il sera ainsi question </w:t>
      </w:r>
      <w:r w:rsidR="00D81850">
        <w:rPr>
          <w:rFonts w:ascii="Garamond" w:hAnsi="Garamond"/>
          <w:sz w:val="22"/>
          <w:szCs w:val="22"/>
        </w:rPr>
        <w:t>d’analyser</w:t>
      </w:r>
      <w:r w:rsidR="00AB44D5">
        <w:rPr>
          <w:rFonts w:ascii="Garamond" w:hAnsi="Garamond"/>
          <w:sz w:val="22"/>
          <w:szCs w:val="22"/>
        </w:rPr>
        <w:t>,</w:t>
      </w:r>
      <w:r w:rsidR="00D81850">
        <w:rPr>
          <w:rFonts w:ascii="Garamond" w:hAnsi="Garamond"/>
          <w:sz w:val="22"/>
          <w:szCs w:val="22"/>
        </w:rPr>
        <w:t xml:space="preserve"> </w:t>
      </w:r>
      <w:r w:rsidR="00E63C52">
        <w:rPr>
          <w:rFonts w:ascii="Garamond" w:hAnsi="Garamond"/>
          <w:sz w:val="22"/>
          <w:szCs w:val="22"/>
        </w:rPr>
        <w:t>dans un premier temps</w:t>
      </w:r>
      <w:r w:rsidR="00AB44D5">
        <w:rPr>
          <w:rFonts w:ascii="Garamond" w:hAnsi="Garamond"/>
          <w:sz w:val="22"/>
          <w:szCs w:val="22"/>
        </w:rPr>
        <w:t>,</w:t>
      </w:r>
      <w:r w:rsidR="00E63C5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l’abandon de poste et de la rupture conventionnelle</w:t>
      </w:r>
      <w:r w:rsidR="005C7F05">
        <w:rPr>
          <w:rFonts w:ascii="Garamond" w:hAnsi="Garamond"/>
          <w:sz w:val="22"/>
          <w:szCs w:val="22"/>
        </w:rPr>
        <w:t xml:space="preserve">, avant d’envisager, pour la seconde journée, </w:t>
      </w:r>
      <w:r w:rsidR="00D81850">
        <w:rPr>
          <w:rFonts w:ascii="Garamond" w:hAnsi="Garamond"/>
          <w:sz w:val="22"/>
          <w:szCs w:val="22"/>
        </w:rPr>
        <w:t xml:space="preserve">la démission, la résiliation judiciaire et la prise d’acte. </w:t>
      </w:r>
    </w:p>
    <w:p w14:paraId="68F38A3D" w14:textId="77777777" w:rsidR="00AB44D5" w:rsidRDefault="00AB44D5" w:rsidP="005C7F05">
      <w:pPr>
        <w:jc w:val="both"/>
        <w:rPr>
          <w:rFonts w:ascii="Garamond" w:hAnsi="Garamond"/>
          <w:sz w:val="22"/>
          <w:szCs w:val="22"/>
        </w:rPr>
      </w:pPr>
    </w:p>
    <w:p w14:paraId="008FA9B2" w14:textId="6BCC3358" w:rsidR="00D81850" w:rsidRDefault="00D81850" w:rsidP="005C7F05">
      <w:pPr>
        <w:jc w:val="both"/>
        <w:rPr>
          <w:rFonts w:ascii="Garamond" w:hAnsi="Garamond"/>
          <w:sz w:val="22"/>
          <w:szCs w:val="22"/>
        </w:rPr>
      </w:pPr>
      <w:r w:rsidRPr="005C7F05">
        <w:rPr>
          <w:rFonts w:ascii="Garamond" w:hAnsi="Garamond"/>
          <w:b/>
          <w:bCs/>
          <w:sz w:val="22"/>
          <w:szCs w:val="22"/>
        </w:rPr>
        <w:t xml:space="preserve">La seconde thématique abordée </w:t>
      </w:r>
      <w:r w:rsidR="005C7F05">
        <w:rPr>
          <w:rFonts w:ascii="Garamond" w:hAnsi="Garamond"/>
          <w:b/>
          <w:bCs/>
          <w:sz w:val="22"/>
          <w:szCs w:val="22"/>
        </w:rPr>
        <w:t xml:space="preserve">portera sur </w:t>
      </w:r>
      <w:r w:rsidRPr="005C7F05">
        <w:rPr>
          <w:rFonts w:ascii="Garamond" w:hAnsi="Garamond"/>
          <w:b/>
          <w:bCs/>
          <w:sz w:val="22"/>
          <w:szCs w:val="22"/>
        </w:rPr>
        <w:t>la grève</w:t>
      </w:r>
      <w:r>
        <w:rPr>
          <w:rFonts w:ascii="Garamond" w:hAnsi="Garamond"/>
          <w:sz w:val="22"/>
          <w:szCs w:val="22"/>
        </w:rPr>
        <w:t xml:space="preserve">. </w:t>
      </w:r>
      <w:r w:rsidR="00E63C52">
        <w:rPr>
          <w:rFonts w:ascii="Garamond" w:hAnsi="Garamond"/>
          <w:sz w:val="22"/>
          <w:szCs w:val="22"/>
        </w:rPr>
        <w:t xml:space="preserve">Il s’agira </w:t>
      </w:r>
      <w:r>
        <w:rPr>
          <w:rFonts w:ascii="Garamond" w:hAnsi="Garamond"/>
          <w:sz w:val="22"/>
          <w:szCs w:val="22"/>
        </w:rPr>
        <w:t xml:space="preserve">d’aborder ce droit collectif </w:t>
      </w:r>
      <w:r w:rsidR="005C7F05">
        <w:rPr>
          <w:rFonts w:ascii="Garamond" w:hAnsi="Garamond"/>
          <w:sz w:val="22"/>
          <w:szCs w:val="22"/>
        </w:rPr>
        <w:t>dans une</w:t>
      </w:r>
      <w:r>
        <w:rPr>
          <w:rFonts w:ascii="Garamond" w:hAnsi="Garamond"/>
          <w:sz w:val="22"/>
          <w:szCs w:val="22"/>
        </w:rPr>
        <w:t xml:space="preserve"> approche sociologique et politique </w:t>
      </w:r>
      <w:r w:rsidR="005C7F05">
        <w:rPr>
          <w:rFonts w:ascii="Garamond" w:hAnsi="Garamond"/>
          <w:sz w:val="22"/>
          <w:szCs w:val="22"/>
        </w:rPr>
        <w:t xml:space="preserve">(notamment </w:t>
      </w:r>
      <w:r>
        <w:rPr>
          <w:rFonts w:ascii="Garamond" w:hAnsi="Garamond"/>
          <w:sz w:val="22"/>
          <w:szCs w:val="22"/>
        </w:rPr>
        <w:t>la morpholog</w:t>
      </w:r>
      <w:r w:rsidR="005C7F05">
        <w:rPr>
          <w:rFonts w:ascii="Garamond" w:hAnsi="Garamond"/>
          <w:sz w:val="22"/>
          <w:szCs w:val="22"/>
        </w:rPr>
        <w:t>i</w:t>
      </w:r>
      <w:r>
        <w:rPr>
          <w:rFonts w:ascii="Garamond" w:hAnsi="Garamond"/>
          <w:sz w:val="22"/>
          <w:szCs w:val="22"/>
        </w:rPr>
        <w:t xml:space="preserve">e des grèves et </w:t>
      </w:r>
      <w:r w:rsidR="005C7F05">
        <w:rPr>
          <w:rFonts w:ascii="Garamond" w:hAnsi="Garamond"/>
          <w:sz w:val="22"/>
          <w:szCs w:val="22"/>
        </w:rPr>
        <w:t>l</w:t>
      </w:r>
      <w:r>
        <w:rPr>
          <w:rFonts w:ascii="Garamond" w:hAnsi="Garamond"/>
          <w:sz w:val="22"/>
          <w:szCs w:val="22"/>
        </w:rPr>
        <w:t>es acteurs</w:t>
      </w:r>
      <w:r w:rsidR="00E63C52">
        <w:rPr>
          <w:rFonts w:ascii="Garamond" w:hAnsi="Garamond"/>
          <w:sz w:val="22"/>
          <w:szCs w:val="22"/>
        </w:rPr>
        <w:t xml:space="preserve">), avant d’étudier dans un second temps </w:t>
      </w:r>
      <w:r w:rsidR="005C7F05">
        <w:rPr>
          <w:rFonts w:ascii="Garamond" w:hAnsi="Garamond"/>
          <w:sz w:val="22"/>
          <w:szCs w:val="22"/>
        </w:rPr>
        <w:t>le cadre juridique de la grève (</w:t>
      </w:r>
      <w:r w:rsidR="009421BD">
        <w:rPr>
          <w:rFonts w:ascii="Garamond" w:hAnsi="Garamond"/>
          <w:sz w:val="22"/>
          <w:szCs w:val="22"/>
        </w:rPr>
        <w:t xml:space="preserve">les </w:t>
      </w:r>
      <w:r w:rsidR="005C7F05">
        <w:rPr>
          <w:rFonts w:ascii="Garamond" w:hAnsi="Garamond"/>
          <w:sz w:val="22"/>
          <w:szCs w:val="22"/>
        </w:rPr>
        <w:t>conditions, les conséquences sur le contrat…)</w:t>
      </w:r>
    </w:p>
    <w:p w14:paraId="2EBD1F0C" w14:textId="77777777" w:rsidR="005C7F05" w:rsidRDefault="005C7F05" w:rsidP="005C7F05">
      <w:pPr>
        <w:jc w:val="both"/>
        <w:rPr>
          <w:rFonts w:ascii="Garamond" w:hAnsi="Garamond"/>
          <w:sz w:val="22"/>
          <w:szCs w:val="22"/>
        </w:rPr>
      </w:pPr>
    </w:p>
    <w:p w14:paraId="0D79D193" w14:textId="7D3DE6C7" w:rsidR="005C7F05" w:rsidRDefault="005C7F05" w:rsidP="005C7F0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La journée de jeudi sera consacrée à des travaux pratiques. </w:t>
      </w:r>
    </w:p>
    <w:p w14:paraId="78F98605" w14:textId="77777777" w:rsidR="005C7F05" w:rsidRDefault="005C7F05" w:rsidP="005C7F05">
      <w:pPr>
        <w:jc w:val="both"/>
        <w:rPr>
          <w:rFonts w:ascii="Garamond" w:hAnsi="Garamond"/>
          <w:sz w:val="22"/>
          <w:szCs w:val="22"/>
        </w:rPr>
      </w:pPr>
    </w:p>
    <w:p w14:paraId="24D24541" w14:textId="72C47828" w:rsidR="005C7F05" w:rsidRDefault="005C7F05" w:rsidP="005C7F05">
      <w:pPr>
        <w:jc w:val="both"/>
        <w:rPr>
          <w:rFonts w:ascii="Garamond" w:hAnsi="Garamond"/>
          <w:sz w:val="22"/>
          <w:szCs w:val="22"/>
        </w:rPr>
      </w:pPr>
      <w:r w:rsidRPr="005C7F05">
        <w:rPr>
          <w:rFonts w:ascii="Garamond" w:hAnsi="Garamond"/>
          <w:b/>
          <w:bCs/>
          <w:sz w:val="22"/>
          <w:szCs w:val="22"/>
        </w:rPr>
        <w:t>La dernière thématique portera sur les lanceurs d’alerte</w:t>
      </w:r>
      <w:r>
        <w:rPr>
          <w:rFonts w:ascii="Garamond" w:hAnsi="Garamond"/>
          <w:sz w:val="22"/>
          <w:szCs w:val="22"/>
        </w:rPr>
        <w:t xml:space="preserve">. Il </w:t>
      </w:r>
      <w:r w:rsidR="00AB44D5">
        <w:rPr>
          <w:rFonts w:ascii="Garamond" w:hAnsi="Garamond"/>
          <w:sz w:val="22"/>
          <w:szCs w:val="22"/>
        </w:rPr>
        <w:t xml:space="preserve">sera question d’analyser </w:t>
      </w:r>
      <w:r>
        <w:rPr>
          <w:rFonts w:ascii="Garamond" w:hAnsi="Garamond"/>
          <w:sz w:val="22"/>
          <w:szCs w:val="22"/>
        </w:rPr>
        <w:t>les conditions et le statut des lanceurs d’alerte dans le droit positif.</w:t>
      </w:r>
    </w:p>
    <w:p w14:paraId="7D05061F" w14:textId="77777777" w:rsidR="00D81850" w:rsidRDefault="00D81850" w:rsidP="00D76648">
      <w:pPr>
        <w:rPr>
          <w:rFonts w:ascii="Garamond" w:hAnsi="Garamond"/>
          <w:sz w:val="22"/>
          <w:szCs w:val="22"/>
        </w:rPr>
      </w:pPr>
    </w:p>
    <w:p w14:paraId="4F42FFB2" w14:textId="13D5680A" w:rsidR="00D81850" w:rsidRPr="00664BF7" w:rsidRDefault="00D81850" w:rsidP="00D76648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sectPr w:rsidR="00D81850" w:rsidRPr="00664BF7">
      <w:headerReference w:type="default" r:id="rId6"/>
      <w:pgSz w:w="16840" w:h="11900" w:orient="landscape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C7EC" w14:textId="77777777" w:rsidR="00553E17" w:rsidRDefault="00553E17">
      <w:r>
        <w:separator/>
      </w:r>
    </w:p>
  </w:endnote>
  <w:endnote w:type="continuationSeparator" w:id="0">
    <w:p w14:paraId="28DE47E6" w14:textId="77777777" w:rsidR="00553E17" w:rsidRDefault="0055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64B7" w14:textId="77777777" w:rsidR="00553E17" w:rsidRDefault="00553E17">
      <w:r>
        <w:separator/>
      </w:r>
    </w:p>
  </w:footnote>
  <w:footnote w:type="continuationSeparator" w:id="0">
    <w:p w14:paraId="457EA7E6" w14:textId="77777777" w:rsidR="00553E17" w:rsidRDefault="0055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041C" w14:textId="77777777" w:rsidR="00113113" w:rsidRDefault="005F5BAD">
    <w:pPr>
      <w:pStyle w:val="En-tte"/>
      <w:jc w:val="center"/>
    </w:pPr>
    <w:r>
      <w:rPr>
        <w:noProof/>
      </w:rPr>
      <w:drawing>
        <wp:inline distT="0" distB="0" distL="0" distR="0" wp14:anchorId="4697C88A" wp14:editId="47F53967">
          <wp:extent cx="1562100" cy="64484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paris 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6448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13"/>
    <w:rsid w:val="000C6006"/>
    <w:rsid w:val="000D5ADC"/>
    <w:rsid w:val="000E4E6B"/>
    <w:rsid w:val="00113113"/>
    <w:rsid w:val="00174276"/>
    <w:rsid w:val="001B5F84"/>
    <w:rsid w:val="00231090"/>
    <w:rsid w:val="002957FC"/>
    <w:rsid w:val="00313112"/>
    <w:rsid w:val="00321C6F"/>
    <w:rsid w:val="00394AFA"/>
    <w:rsid w:val="00455EB9"/>
    <w:rsid w:val="004746FD"/>
    <w:rsid w:val="00486308"/>
    <w:rsid w:val="004A2C50"/>
    <w:rsid w:val="00553E17"/>
    <w:rsid w:val="005554C0"/>
    <w:rsid w:val="005C205C"/>
    <w:rsid w:val="005C56CC"/>
    <w:rsid w:val="005C7F05"/>
    <w:rsid w:val="005F5BAD"/>
    <w:rsid w:val="00636CF9"/>
    <w:rsid w:val="00664BF7"/>
    <w:rsid w:val="006A0DBE"/>
    <w:rsid w:val="006B3F27"/>
    <w:rsid w:val="00700FD0"/>
    <w:rsid w:val="00732891"/>
    <w:rsid w:val="0073639B"/>
    <w:rsid w:val="00746AD5"/>
    <w:rsid w:val="008771A4"/>
    <w:rsid w:val="008F3C1E"/>
    <w:rsid w:val="0092392B"/>
    <w:rsid w:val="009337A7"/>
    <w:rsid w:val="009421BD"/>
    <w:rsid w:val="0096381B"/>
    <w:rsid w:val="009850E6"/>
    <w:rsid w:val="00991254"/>
    <w:rsid w:val="0099157B"/>
    <w:rsid w:val="00992BD3"/>
    <w:rsid w:val="009E50AE"/>
    <w:rsid w:val="00A93E70"/>
    <w:rsid w:val="00AB44D5"/>
    <w:rsid w:val="00AE5A6D"/>
    <w:rsid w:val="00B07C18"/>
    <w:rsid w:val="00B16A6C"/>
    <w:rsid w:val="00B17A2B"/>
    <w:rsid w:val="00B22334"/>
    <w:rsid w:val="00B54EEA"/>
    <w:rsid w:val="00B87345"/>
    <w:rsid w:val="00BA47C7"/>
    <w:rsid w:val="00BB1285"/>
    <w:rsid w:val="00BF2611"/>
    <w:rsid w:val="00C24F2F"/>
    <w:rsid w:val="00C71CD8"/>
    <w:rsid w:val="00C9280C"/>
    <w:rsid w:val="00D053E8"/>
    <w:rsid w:val="00D62E9D"/>
    <w:rsid w:val="00D76648"/>
    <w:rsid w:val="00D81850"/>
    <w:rsid w:val="00D84DEF"/>
    <w:rsid w:val="00DE60C4"/>
    <w:rsid w:val="00E1500F"/>
    <w:rsid w:val="00E60C92"/>
    <w:rsid w:val="00E63C52"/>
    <w:rsid w:val="00EF7122"/>
    <w:rsid w:val="00F8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496A"/>
  <w15:docId w15:val="{880974FE-E748-4197-B75F-23144521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381B"/>
    <w:rPr>
      <w:rFonts w:cs="Arial Unicode MS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widowControl w:val="0"/>
      <w:spacing w:line="240" w:lineRule="atLeast"/>
    </w:pPr>
    <w:rPr>
      <w:rFonts w:ascii="Times" w:eastAsia="Times" w:hAnsi="Times" w:cs="Times"/>
      <w:color w:val="000000"/>
      <w:sz w:val="24"/>
      <w:szCs w:val="24"/>
      <w:u w:color="000000"/>
    </w:rPr>
  </w:style>
  <w:style w:type="paragraph" w:customStyle="1" w:styleId="TBpardfaut">
    <w:name w:val="TB par dªfaut"/>
    <w:pPr>
      <w:widowControl w:val="0"/>
      <w:spacing w:line="240" w:lineRule="atLeast"/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23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334"/>
    <w:rPr>
      <w:rFonts w:ascii="Tahoma" w:hAnsi="Tahoma" w:cs="Tahoma"/>
      <w:color w:val="000000"/>
      <w:sz w:val="16"/>
      <w:szCs w:val="16"/>
      <w:u w:color="000000"/>
    </w:rPr>
  </w:style>
  <w:style w:type="paragraph" w:styleId="Corpsdetexte">
    <w:name w:val="Body Text"/>
    <w:basedOn w:val="Normal"/>
    <w:link w:val="CorpsdetexteCar"/>
    <w:semiHidden/>
    <w:unhideWhenUsed/>
    <w:rsid w:val="009239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</w:pPr>
    <w:rPr>
      <w:rFonts w:ascii="Times" w:eastAsia="Times New Roman" w:hAnsi="Times" w:cs="Times New Roman"/>
      <w:color w:val="auto"/>
      <w:sz w:val="24"/>
      <w:bdr w:val="none" w:sz="0" w:space="0" w:color="auto"/>
    </w:rPr>
  </w:style>
  <w:style w:type="character" w:customStyle="1" w:styleId="CorpsdetexteCar">
    <w:name w:val="Corps de texte Car"/>
    <w:basedOn w:val="Policepardfaut"/>
    <w:link w:val="Corpsdetexte"/>
    <w:semiHidden/>
    <w:rsid w:val="0092392B"/>
    <w:rPr>
      <w:rFonts w:ascii="Times" w:eastAsia="Times New Roman" w:hAnsi="Times"/>
      <w:sz w:val="24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rsid w:val="00664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BF7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Adeline Gubler</cp:lastModifiedBy>
  <cp:revision>2</cp:revision>
  <dcterms:created xsi:type="dcterms:W3CDTF">2024-01-30T10:33:00Z</dcterms:created>
  <dcterms:modified xsi:type="dcterms:W3CDTF">2024-01-30T10:33:00Z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2024-01-30T10:33:12Z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e3f83685-7221-4b4d-aea7-853c01a6e9f7</vt:lpwstr>
  </property>
  <property fmtid="{D5CDD505-2E9C-101B-9397-08002B2CF9AE}" pid="8" name="MSIP_Label_d5c20be7-c3a5-46e3-9158-fa8a02ce2395_ContentBits">
    <vt:lpwstr>0</vt:lpwstr>
  </property>
</Properties>
</file>