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FF64" w14:textId="57CC24BA" w:rsidR="008E3B87" w:rsidRDefault="008E3B87" w:rsidP="008E3B87">
      <w:pPr>
        <w:spacing w:line="240" w:lineRule="auto"/>
        <w:jc w:val="center"/>
        <w:rPr>
          <w:b/>
        </w:rPr>
      </w:pPr>
      <w:r>
        <w:rPr>
          <w:noProof/>
        </w:rPr>
        <w:drawing>
          <wp:inline distT="0" distB="0" distL="0" distR="0" wp14:anchorId="0A4BDEA2" wp14:editId="1BA8B1DD">
            <wp:extent cx="1562100" cy="6448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paris 1.png"/>
                    <pic:cNvPicPr>
                      <a:picLocks noChangeAspect="1"/>
                    </pic:cNvPicPr>
                  </pic:nvPicPr>
                  <pic:blipFill>
                    <a:blip r:embed="rId8"/>
                    <a:stretch>
                      <a:fillRect/>
                    </a:stretch>
                  </pic:blipFill>
                  <pic:spPr>
                    <a:xfrm>
                      <a:off x="0" y="0"/>
                      <a:ext cx="1562100" cy="644843"/>
                    </a:xfrm>
                    <a:prstGeom prst="rect">
                      <a:avLst/>
                    </a:prstGeom>
                    <a:ln w="12700" cap="flat">
                      <a:noFill/>
                      <a:miter lim="400000"/>
                    </a:ln>
                    <a:effectLst/>
                  </pic:spPr>
                </pic:pic>
              </a:graphicData>
            </a:graphic>
          </wp:inline>
        </w:drawing>
      </w:r>
    </w:p>
    <w:p w14:paraId="7A42FC94" w14:textId="7D06E085" w:rsidR="008E3B87" w:rsidRPr="008E3B87" w:rsidRDefault="008E3B87" w:rsidP="008E3B87">
      <w:pPr>
        <w:jc w:val="center"/>
        <w:rPr>
          <w:b/>
          <w:bCs/>
          <w:szCs w:val="24"/>
        </w:rPr>
      </w:pPr>
      <w:r>
        <w:rPr>
          <w:b/>
          <w:bCs/>
          <w:szCs w:val="24"/>
        </w:rPr>
        <w:t>Institut des Sciences Sociales du Travail</w:t>
      </w:r>
    </w:p>
    <w:p w14:paraId="7852E7F3" w14:textId="2A3ED79B" w:rsidR="007959F6" w:rsidRDefault="007959F6">
      <w:pPr>
        <w:spacing w:line="240" w:lineRule="auto"/>
        <w:jc w:val="center"/>
      </w:pPr>
      <w:r>
        <w:rPr>
          <w:b/>
        </w:rPr>
        <w:t xml:space="preserve">Stage </w:t>
      </w:r>
      <w:r w:rsidR="00F51F2D">
        <w:rPr>
          <w:b/>
        </w:rPr>
        <w:t xml:space="preserve">CGT-Prudis </w:t>
      </w:r>
      <w:r w:rsidR="00A803FF">
        <w:rPr>
          <w:b/>
        </w:rPr>
        <w:t>« Discrimination »</w:t>
      </w:r>
    </w:p>
    <w:p w14:paraId="1F9949A5" w14:textId="22E282E0" w:rsidR="007959F6" w:rsidRDefault="00A803FF">
      <w:pPr>
        <w:pStyle w:val="Titre2"/>
        <w:spacing w:line="240" w:lineRule="auto"/>
      </w:pPr>
      <w:r>
        <w:t xml:space="preserve">du </w:t>
      </w:r>
      <w:r w:rsidR="00A81A9E">
        <w:t>10 juin a</w:t>
      </w:r>
      <w:r>
        <w:t>u</w:t>
      </w:r>
      <w:r w:rsidR="00D1758D">
        <w:t xml:space="preserve"> </w:t>
      </w:r>
      <w:r w:rsidR="00A81A9E">
        <w:t>14</w:t>
      </w:r>
      <w:r w:rsidR="00D1758D">
        <w:t xml:space="preserve"> </w:t>
      </w:r>
      <w:r w:rsidR="00A81A9E">
        <w:t>juin</w:t>
      </w:r>
      <w:r w:rsidR="00D1758D">
        <w:t xml:space="preserve"> </w:t>
      </w:r>
      <w:r w:rsidR="00356A6E">
        <w:t>202</w:t>
      </w:r>
      <w:r w:rsidR="00D708EE">
        <w:t>4</w:t>
      </w:r>
    </w:p>
    <w:p w14:paraId="56AAF5DD" w14:textId="481EFAD2" w:rsidR="007959F6" w:rsidRPr="005368CA" w:rsidRDefault="007959F6">
      <w:pPr>
        <w:jc w:val="center"/>
      </w:pPr>
      <w:r w:rsidRPr="002103DF">
        <w:rPr>
          <w:szCs w:val="24"/>
        </w:rPr>
        <w:t xml:space="preserve">Co-animation : </w:t>
      </w:r>
      <w:r w:rsidR="00C34419" w:rsidRPr="002103DF">
        <w:rPr>
          <w:szCs w:val="24"/>
        </w:rPr>
        <w:t>Joseph Morin</w:t>
      </w:r>
      <w:r w:rsidR="002103DF" w:rsidRPr="002103DF">
        <w:rPr>
          <w:szCs w:val="24"/>
        </w:rPr>
        <w:t xml:space="preserve"> et </w:t>
      </w:r>
      <w:r w:rsidR="00A81A9E">
        <w:rPr>
          <w:szCs w:val="24"/>
        </w:rPr>
        <w:t>Clémence Yuste-Villamayor</w:t>
      </w:r>
      <w:r w:rsidRPr="002103DF">
        <w:rPr>
          <w:szCs w:val="24"/>
        </w:rPr>
        <w:t xml:space="preserve"> (Univ</w:t>
      </w:r>
      <w:r w:rsidRPr="002103DF">
        <w:t xml:space="preserve">. </w:t>
      </w:r>
      <w:r w:rsidR="001C6CFE" w:rsidRPr="005368CA">
        <w:t>Paris 1-ISST),</w:t>
      </w:r>
      <w:r w:rsidR="00C34419" w:rsidRPr="005368CA">
        <w:t xml:space="preserve"> </w:t>
      </w:r>
      <w:r w:rsidR="0002172F">
        <w:t>François Quéré</w:t>
      </w:r>
      <w:r w:rsidR="008C51AF">
        <w:t xml:space="preserve"> </w:t>
      </w:r>
      <w:r w:rsidR="00685217" w:rsidRPr="005368CA">
        <w:t>(</w:t>
      </w:r>
      <w:r w:rsidR="00631436">
        <w:t>CGT-Prudis</w:t>
      </w:r>
      <w:r w:rsidR="00685217" w:rsidRPr="005368CA">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82"/>
        <w:gridCol w:w="2345"/>
        <w:gridCol w:w="2475"/>
        <w:gridCol w:w="2410"/>
        <w:gridCol w:w="2514"/>
        <w:gridCol w:w="2604"/>
      </w:tblGrid>
      <w:tr w:rsidR="007959F6" w14:paraId="6F43D2CB" w14:textId="77777777" w:rsidTr="00D1758D">
        <w:tc>
          <w:tcPr>
            <w:tcW w:w="982" w:type="dxa"/>
            <w:tcBorders>
              <w:top w:val="single" w:sz="4" w:space="0" w:color="000000"/>
              <w:left w:val="single" w:sz="4" w:space="0" w:color="000000"/>
              <w:bottom w:val="single" w:sz="4" w:space="0" w:color="000000"/>
            </w:tcBorders>
            <w:shd w:val="clear" w:color="auto" w:fill="auto"/>
          </w:tcPr>
          <w:p w14:paraId="77A6FE97" w14:textId="77777777" w:rsidR="007959F6" w:rsidRPr="005368CA" w:rsidRDefault="007959F6">
            <w:pPr>
              <w:snapToGrid w:val="0"/>
              <w:spacing w:line="240" w:lineRule="auto"/>
              <w:ind w:left="103"/>
              <w:jc w:val="center"/>
            </w:pPr>
          </w:p>
        </w:tc>
        <w:tc>
          <w:tcPr>
            <w:tcW w:w="2345" w:type="dxa"/>
            <w:tcBorders>
              <w:top w:val="single" w:sz="4" w:space="0" w:color="000000"/>
              <w:left w:val="single" w:sz="4" w:space="0" w:color="000000"/>
              <w:bottom w:val="single" w:sz="4" w:space="0" w:color="000000"/>
            </w:tcBorders>
            <w:shd w:val="clear" w:color="auto" w:fill="auto"/>
          </w:tcPr>
          <w:p w14:paraId="5C81E8DB" w14:textId="60DE6B20" w:rsidR="007959F6" w:rsidRPr="005148D3" w:rsidRDefault="007959F6" w:rsidP="00720E9A">
            <w:pPr>
              <w:spacing w:line="240" w:lineRule="auto"/>
              <w:jc w:val="center"/>
              <w:rPr>
                <w:lang w:val="en-US"/>
              </w:rPr>
            </w:pPr>
            <w:r w:rsidRPr="005148D3">
              <w:rPr>
                <w:lang w:val="en-US"/>
              </w:rPr>
              <w:t xml:space="preserve">Lundi </w:t>
            </w:r>
            <w:r w:rsidR="00290A36">
              <w:rPr>
                <w:lang w:val="en-US"/>
              </w:rPr>
              <w:t>10 juin</w:t>
            </w:r>
          </w:p>
        </w:tc>
        <w:tc>
          <w:tcPr>
            <w:tcW w:w="2475" w:type="dxa"/>
            <w:tcBorders>
              <w:top w:val="single" w:sz="4" w:space="0" w:color="000000"/>
              <w:left w:val="single" w:sz="4" w:space="0" w:color="000000"/>
              <w:bottom w:val="single" w:sz="4" w:space="0" w:color="000000"/>
            </w:tcBorders>
            <w:shd w:val="clear" w:color="auto" w:fill="auto"/>
          </w:tcPr>
          <w:p w14:paraId="7ECEF917" w14:textId="282E2DEA" w:rsidR="007959F6" w:rsidRDefault="007959F6" w:rsidP="00720E9A">
            <w:pPr>
              <w:spacing w:line="240" w:lineRule="auto"/>
              <w:jc w:val="center"/>
            </w:pPr>
            <w:r>
              <w:t>Mardi</w:t>
            </w:r>
            <w:r w:rsidR="00D1758D">
              <w:t xml:space="preserve"> </w:t>
            </w:r>
            <w:r w:rsidR="00290A36">
              <w:rPr>
                <w:lang w:val="en-US"/>
              </w:rPr>
              <w:t>11 juin</w:t>
            </w:r>
          </w:p>
        </w:tc>
        <w:tc>
          <w:tcPr>
            <w:tcW w:w="2410" w:type="dxa"/>
            <w:tcBorders>
              <w:top w:val="single" w:sz="4" w:space="0" w:color="000000"/>
              <w:left w:val="single" w:sz="4" w:space="0" w:color="000000"/>
              <w:bottom w:val="single" w:sz="4" w:space="0" w:color="000000"/>
            </w:tcBorders>
            <w:shd w:val="clear" w:color="auto" w:fill="auto"/>
          </w:tcPr>
          <w:p w14:paraId="6536D7E5" w14:textId="49CC870E" w:rsidR="007959F6" w:rsidRDefault="007959F6" w:rsidP="00720E9A">
            <w:pPr>
              <w:spacing w:line="240" w:lineRule="auto"/>
              <w:jc w:val="center"/>
            </w:pPr>
            <w:r>
              <w:t xml:space="preserve">Mercredi </w:t>
            </w:r>
            <w:r w:rsidR="00290A36">
              <w:rPr>
                <w:lang w:val="en-US"/>
              </w:rPr>
              <w:t>12 juin</w:t>
            </w:r>
          </w:p>
        </w:tc>
        <w:tc>
          <w:tcPr>
            <w:tcW w:w="2514" w:type="dxa"/>
            <w:tcBorders>
              <w:top w:val="single" w:sz="4" w:space="0" w:color="000000"/>
              <w:left w:val="single" w:sz="4" w:space="0" w:color="000000"/>
              <w:bottom w:val="single" w:sz="4" w:space="0" w:color="000000"/>
            </w:tcBorders>
            <w:shd w:val="clear" w:color="auto" w:fill="auto"/>
          </w:tcPr>
          <w:p w14:paraId="040565CE" w14:textId="5097AC9B" w:rsidR="007959F6" w:rsidRDefault="007959F6" w:rsidP="00720E9A">
            <w:pPr>
              <w:spacing w:line="240" w:lineRule="auto"/>
              <w:jc w:val="center"/>
            </w:pPr>
            <w:r>
              <w:t>J</w:t>
            </w:r>
            <w:r w:rsidR="00720E9A">
              <w:t>eudi</w:t>
            </w:r>
            <w:r w:rsidR="00C15EC0">
              <w:t xml:space="preserve"> </w:t>
            </w:r>
            <w:r w:rsidR="00290A36">
              <w:rPr>
                <w:lang w:val="en-US"/>
              </w:rPr>
              <w:t>13 juin</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E1F3BBE" w14:textId="69FDD388" w:rsidR="007959F6" w:rsidRDefault="007959F6" w:rsidP="00720E9A">
            <w:pPr>
              <w:spacing w:line="240" w:lineRule="auto"/>
              <w:jc w:val="center"/>
            </w:pPr>
            <w:r>
              <w:t xml:space="preserve">Vendredi </w:t>
            </w:r>
            <w:r w:rsidR="00290A36">
              <w:rPr>
                <w:lang w:val="en-US"/>
              </w:rPr>
              <w:t>14 juin</w:t>
            </w:r>
          </w:p>
        </w:tc>
      </w:tr>
      <w:tr w:rsidR="007959F6" w14:paraId="029E21D2" w14:textId="77777777" w:rsidTr="00D1758D">
        <w:trPr>
          <w:trHeight w:val="2714"/>
        </w:trPr>
        <w:tc>
          <w:tcPr>
            <w:tcW w:w="982" w:type="dxa"/>
            <w:tcBorders>
              <w:top w:val="single" w:sz="4" w:space="0" w:color="000000"/>
              <w:left w:val="single" w:sz="4" w:space="0" w:color="000000"/>
              <w:bottom w:val="single" w:sz="4" w:space="0" w:color="000000"/>
            </w:tcBorders>
            <w:shd w:val="clear" w:color="auto" w:fill="auto"/>
          </w:tcPr>
          <w:p w14:paraId="17FAAFBB" w14:textId="77777777" w:rsidR="007959F6" w:rsidRDefault="007959F6">
            <w:pPr>
              <w:spacing w:line="240" w:lineRule="auto"/>
              <w:jc w:val="center"/>
            </w:pPr>
            <w:r>
              <w:t>9h</w:t>
            </w:r>
          </w:p>
          <w:p w14:paraId="073467B0" w14:textId="77777777" w:rsidR="007959F6" w:rsidRDefault="007959F6">
            <w:pPr>
              <w:spacing w:line="240" w:lineRule="auto"/>
              <w:jc w:val="center"/>
            </w:pPr>
          </w:p>
          <w:p w14:paraId="007A7ABF" w14:textId="77777777" w:rsidR="007959F6" w:rsidRDefault="007959F6">
            <w:pPr>
              <w:spacing w:line="240" w:lineRule="auto"/>
              <w:jc w:val="center"/>
            </w:pPr>
          </w:p>
          <w:p w14:paraId="75C3A083" w14:textId="77777777" w:rsidR="007959F6" w:rsidRDefault="007959F6">
            <w:pPr>
              <w:spacing w:line="240" w:lineRule="auto"/>
              <w:jc w:val="center"/>
            </w:pPr>
          </w:p>
          <w:p w14:paraId="6CF1CB75" w14:textId="77777777" w:rsidR="007959F6" w:rsidRDefault="007959F6">
            <w:pPr>
              <w:spacing w:line="240" w:lineRule="auto"/>
              <w:jc w:val="center"/>
            </w:pPr>
          </w:p>
          <w:p w14:paraId="13173547" w14:textId="77777777" w:rsidR="007959F6" w:rsidRDefault="007959F6">
            <w:pPr>
              <w:spacing w:line="240" w:lineRule="auto"/>
            </w:pPr>
          </w:p>
          <w:p w14:paraId="7C639C50" w14:textId="77777777" w:rsidR="007959F6" w:rsidRDefault="007959F6">
            <w:pPr>
              <w:spacing w:line="240" w:lineRule="auto"/>
              <w:jc w:val="center"/>
            </w:pPr>
          </w:p>
        </w:tc>
        <w:tc>
          <w:tcPr>
            <w:tcW w:w="2345" w:type="dxa"/>
            <w:tcBorders>
              <w:top w:val="single" w:sz="4" w:space="0" w:color="000000"/>
              <w:left w:val="single" w:sz="4" w:space="0" w:color="000000"/>
              <w:bottom w:val="single" w:sz="4" w:space="0" w:color="000000"/>
            </w:tcBorders>
            <w:shd w:val="clear" w:color="auto" w:fill="auto"/>
          </w:tcPr>
          <w:p w14:paraId="147099C2" w14:textId="77777777" w:rsidR="005D65D6" w:rsidRDefault="005D65D6">
            <w:pPr>
              <w:spacing w:line="240" w:lineRule="auto"/>
              <w:jc w:val="center"/>
            </w:pPr>
          </w:p>
          <w:p w14:paraId="3EC76225" w14:textId="77777777" w:rsidR="007959F6" w:rsidRDefault="007959F6">
            <w:pPr>
              <w:spacing w:line="240" w:lineRule="auto"/>
              <w:jc w:val="center"/>
            </w:pPr>
            <w:r>
              <w:t>Présentation de l’ISST et du stage</w:t>
            </w:r>
          </w:p>
          <w:p w14:paraId="020D07E7" w14:textId="77777777" w:rsidR="005148D3" w:rsidRDefault="005148D3">
            <w:pPr>
              <w:spacing w:line="240" w:lineRule="auto"/>
              <w:jc w:val="center"/>
            </w:pPr>
          </w:p>
          <w:p w14:paraId="6AE2E80B" w14:textId="00AA6331" w:rsidR="008C51AF" w:rsidRDefault="007959F6" w:rsidP="00D1758D">
            <w:pPr>
              <w:spacing w:line="240" w:lineRule="auto"/>
              <w:jc w:val="center"/>
            </w:pPr>
            <w:r>
              <w:t>Tour de table</w:t>
            </w:r>
          </w:p>
          <w:p w14:paraId="72DAB5D5" w14:textId="109008B3" w:rsidR="007959F6" w:rsidRDefault="007959F6">
            <w:pPr>
              <w:spacing w:line="240" w:lineRule="auto"/>
              <w:jc w:val="center"/>
            </w:pPr>
            <w:r>
              <w:rPr>
                <w:sz w:val="20"/>
              </w:rPr>
              <w:t>_____________</w:t>
            </w:r>
          </w:p>
          <w:p w14:paraId="18B1BE20" w14:textId="77777777" w:rsidR="008C51AF" w:rsidRDefault="008C51AF" w:rsidP="008E3B87">
            <w:pPr>
              <w:spacing w:line="240" w:lineRule="auto"/>
            </w:pPr>
          </w:p>
          <w:p w14:paraId="5259E85C" w14:textId="1CA59E2C" w:rsidR="007959F6" w:rsidRDefault="005148D3">
            <w:pPr>
              <w:spacing w:line="240" w:lineRule="auto"/>
              <w:jc w:val="center"/>
            </w:pPr>
            <w:r>
              <w:t>Discrimination et notions voisines</w:t>
            </w:r>
          </w:p>
          <w:p w14:paraId="1D9A2396" w14:textId="1CF222E8" w:rsidR="008E3B87" w:rsidRDefault="00A81A9E" w:rsidP="00912032">
            <w:pPr>
              <w:spacing w:line="240" w:lineRule="auto"/>
              <w:jc w:val="center"/>
              <w:rPr>
                <w:b/>
                <w:bCs/>
              </w:rPr>
            </w:pPr>
            <w:r>
              <w:rPr>
                <w:b/>
                <w:bCs/>
              </w:rPr>
              <w:t>J. Morin</w:t>
            </w:r>
          </w:p>
          <w:p w14:paraId="5E33F513" w14:textId="7C45D21A" w:rsidR="007959F6" w:rsidRPr="008E3B87" w:rsidRDefault="008E3B87" w:rsidP="00912032">
            <w:pPr>
              <w:spacing w:line="240" w:lineRule="auto"/>
              <w:jc w:val="center"/>
            </w:pPr>
            <w:r w:rsidRPr="008E3B87">
              <w:t>(ISST)</w:t>
            </w:r>
          </w:p>
          <w:p w14:paraId="654DEB27" w14:textId="77777777" w:rsidR="00A803FF" w:rsidRDefault="00A803FF" w:rsidP="002E0BA6">
            <w:pPr>
              <w:spacing w:line="240" w:lineRule="auto"/>
              <w:jc w:val="center"/>
            </w:pPr>
          </w:p>
        </w:tc>
        <w:tc>
          <w:tcPr>
            <w:tcW w:w="2475" w:type="dxa"/>
            <w:tcBorders>
              <w:top w:val="single" w:sz="4" w:space="0" w:color="000000"/>
              <w:left w:val="single" w:sz="4" w:space="0" w:color="000000"/>
              <w:bottom w:val="single" w:sz="4" w:space="0" w:color="000000"/>
            </w:tcBorders>
            <w:shd w:val="clear" w:color="auto" w:fill="auto"/>
          </w:tcPr>
          <w:p w14:paraId="209EF7B7" w14:textId="77777777" w:rsidR="00631436" w:rsidRDefault="00631436" w:rsidP="00631436">
            <w:pPr>
              <w:pStyle w:val="Corpsdetexte"/>
              <w:autoSpaceDE/>
              <w:snapToGrid w:val="0"/>
              <w:jc w:val="both"/>
              <w:rPr>
                <w:rFonts w:ascii="Times New Roman" w:hAnsi="Times New Roman" w:cs="Times New Roman"/>
              </w:rPr>
            </w:pPr>
          </w:p>
          <w:p w14:paraId="228D8ABD" w14:textId="25D60B3D" w:rsidR="00720E9A" w:rsidRDefault="00631436" w:rsidP="00720E9A">
            <w:pPr>
              <w:spacing w:line="240" w:lineRule="auto"/>
              <w:jc w:val="center"/>
            </w:pPr>
            <w:r>
              <w:t>Sur quelques motifs de discrimination</w:t>
            </w:r>
            <w:r w:rsidR="00720E9A">
              <w:t xml:space="preserve"> </w:t>
            </w:r>
          </w:p>
          <w:p w14:paraId="2B1032ED" w14:textId="1077C1F3" w:rsidR="00720E9A" w:rsidRDefault="00631436" w:rsidP="00720E9A">
            <w:pPr>
              <w:spacing w:line="240" w:lineRule="auto"/>
              <w:jc w:val="center"/>
            </w:pPr>
            <w:r>
              <w:t xml:space="preserve"> </w:t>
            </w:r>
          </w:p>
          <w:p w14:paraId="223B9FB5" w14:textId="77777777" w:rsidR="00A81A9E" w:rsidRDefault="00A81A9E">
            <w:pPr>
              <w:pStyle w:val="Corpsdetexte"/>
              <w:autoSpaceDE/>
              <w:rPr>
                <w:b/>
                <w:bCs/>
              </w:rPr>
            </w:pPr>
            <w:r>
              <w:rPr>
                <w:b/>
                <w:bCs/>
                <w:szCs w:val="24"/>
              </w:rPr>
              <w:t>C. Yuste</w:t>
            </w:r>
            <w:r>
              <w:rPr>
                <w:b/>
                <w:bCs/>
              </w:rPr>
              <w:t xml:space="preserve"> </w:t>
            </w:r>
          </w:p>
          <w:p w14:paraId="277E85C4" w14:textId="1ECFBABD" w:rsidR="007959F6" w:rsidRDefault="008E3B87">
            <w:pPr>
              <w:pStyle w:val="Corpsdetexte"/>
              <w:autoSpaceDE/>
              <w:rPr>
                <w:rFonts w:ascii="Times New Roman" w:hAnsi="Times New Roman" w:cs="Times New Roman"/>
              </w:rPr>
            </w:pPr>
            <w:r>
              <w:rPr>
                <w:rFonts w:ascii="Times New Roman" w:hAnsi="Times New Roman" w:cs="Times New Roman"/>
              </w:rPr>
              <w:t xml:space="preserve">(ISST) </w:t>
            </w:r>
          </w:p>
          <w:p w14:paraId="3BDE779C" w14:textId="77777777" w:rsidR="00011AEC" w:rsidRPr="00A803FF" w:rsidRDefault="00011AEC" w:rsidP="002E0BA6">
            <w:pPr>
              <w:spacing w:line="240" w:lineRule="auto"/>
              <w:jc w:val="center"/>
              <w:rPr>
                <w:i/>
              </w:rPr>
            </w:pPr>
          </w:p>
        </w:tc>
        <w:tc>
          <w:tcPr>
            <w:tcW w:w="2410" w:type="dxa"/>
            <w:tcBorders>
              <w:top w:val="single" w:sz="4" w:space="0" w:color="000000"/>
              <w:left w:val="single" w:sz="4" w:space="0" w:color="000000"/>
              <w:bottom w:val="single" w:sz="4" w:space="0" w:color="000000"/>
            </w:tcBorders>
            <w:shd w:val="clear" w:color="auto" w:fill="auto"/>
          </w:tcPr>
          <w:p w14:paraId="609F797B" w14:textId="77777777" w:rsidR="007959F6" w:rsidRDefault="007959F6">
            <w:pPr>
              <w:pStyle w:val="Corpsdetexte"/>
              <w:autoSpaceDE/>
              <w:snapToGrid w:val="0"/>
              <w:jc w:val="both"/>
              <w:rPr>
                <w:rFonts w:ascii="Times New Roman" w:hAnsi="Times New Roman" w:cs="Times New Roman"/>
              </w:rPr>
            </w:pPr>
          </w:p>
          <w:p w14:paraId="5E0E9CBC" w14:textId="11FF4D49" w:rsidR="00B01A24" w:rsidRDefault="00B01A24" w:rsidP="00B01A24">
            <w:pPr>
              <w:spacing w:line="240" w:lineRule="auto"/>
              <w:jc w:val="center"/>
            </w:pPr>
            <w:r>
              <w:t>Le contentieux de la discrimination</w:t>
            </w:r>
            <w:r w:rsidR="005809B8">
              <w:t xml:space="preserve"> – aspects probatoires</w:t>
            </w:r>
          </w:p>
          <w:p w14:paraId="2616E785" w14:textId="0F367BB0" w:rsidR="002E0BA6" w:rsidRDefault="002E0BA6" w:rsidP="00720E9A">
            <w:pPr>
              <w:spacing w:line="240" w:lineRule="auto"/>
              <w:jc w:val="center"/>
              <w:rPr>
                <w:b/>
                <w:i/>
              </w:rPr>
            </w:pPr>
          </w:p>
          <w:p w14:paraId="4F7BB126" w14:textId="73BA5573" w:rsidR="00720E9A" w:rsidRDefault="00D1758D" w:rsidP="00720E9A">
            <w:pPr>
              <w:spacing w:line="240" w:lineRule="auto"/>
              <w:jc w:val="center"/>
              <w:rPr>
                <w:b/>
                <w:iCs/>
              </w:rPr>
            </w:pPr>
            <w:r>
              <w:rPr>
                <w:b/>
                <w:iCs/>
              </w:rPr>
              <w:t>X. Sauvignet</w:t>
            </w:r>
          </w:p>
          <w:p w14:paraId="2360D5C4" w14:textId="261C428F" w:rsidR="00234214" w:rsidRPr="00B71A4B" w:rsidRDefault="00B71A4B" w:rsidP="00B71A4B">
            <w:pPr>
              <w:spacing w:line="240" w:lineRule="auto"/>
              <w:jc w:val="center"/>
              <w:rPr>
                <w:bCs/>
                <w:iCs/>
              </w:rPr>
            </w:pPr>
            <w:r w:rsidRPr="00B71A4B">
              <w:rPr>
                <w:bCs/>
                <w:iCs/>
              </w:rPr>
              <w:t>Avocat à la cour</w:t>
            </w:r>
          </w:p>
          <w:p w14:paraId="7ADE79E7" w14:textId="6033298E" w:rsidR="00234214" w:rsidRPr="008E3B87" w:rsidRDefault="00234214" w:rsidP="00720E9A">
            <w:pPr>
              <w:spacing w:line="240" w:lineRule="auto"/>
              <w:jc w:val="center"/>
              <w:rPr>
                <w:bCs/>
                <w:iCs/>
              </w:rPr>
            </w:pPr>
          </w:p>
        </w:tc>
        <w:tc>
          <w:tcPr>
            <w:tcW w:w="2514" w:type="dxa"/>
            <w:tcBorders>
              <w:top w:val="single" w:sz="4" w:space="0" w:color="000000"/>
              <w:left w:val="single" w:sz="4" w:space="0" w:color="000000"/>
              <w:bottom w:val="single" w:sz="4" w:space="0" w:color="000000"/>
            </w:tcBorders>
            <w:shd w:val="clear" w:color="auto" w:fill="auto"/>
          </w:tcPr>
          <w:p w14:paraId="43F78A47" w14:textId="77777777" w:rsidR="005368CA" w:rsidRDefault="005368CA" w:rsidP="009340DF">
            <w:pPr>
              <w:spacing w:line="240" w:lineRule="auto"/>
              <w:jc w:val="center"/>
              <w:rPr>
                <w:rFonts w:ascii="Times" w:hAnsi="Times" w:cs="Times"/>
              </w:rPr>
            </w:pPr>
          </w:p>
          <w:p w14:paraId="7D49EB1B" w14:textId="77777777" w:rsidR="002E0BA6" w:rsidRDefault="002E0BA6" w:rsidP="002E0BA6">
            <w:pPr>
              <w:spacing w:line="240" w:lineRule="auto"/>
              <w:jc w:val="center"/>
            </w:pPr>
            <w:r>
              <w:t>Actions et sanctions de la discrimination</w:t>
            </w:r>
          </w:p>
          <w:p w14:paraId="17CD52F6" w14:textId="77777777" w:rsidR="002E0BA6" w:rsidRDefault="002E0BA6" w:rsidP="002E0BA6">
            <w:pPr>
              <w:spacing w:line="240" w:lineRule="auto"/>
              <w:jc w:val="center"/>
            </w:pPr>
          </w:p>
          <w:p w14:paraId="20181AC4" w14:textId="77777777" w:rsidR="00A81A9E" w:rsidRDefault="00A81A9E" w:rsidP="002E0BA6">
            <w:pPr>
              <w:spacing w:line="240" w:lineRule="auto"/>
              <w:jc w:val="center"/>
              <w:rPr>
                <w:b/>
                <w:bCs/>
              </w:rPr>
            </w:pPr>
            <w:r>
              <w:rPr>
                <w:b/>
                <w:bCs/>
                <w:szCs w:val="24"/>
              </w:rPr>
              <w:t>C. Yuste</w:t>
            </w:r>
            <w:r>
              <w:rPr>
                <w:b/>
                <w:bCs/>
              </w:rPr>
              <w:t xml:space="preserve"> </w:t>
            </w:r>
          </w:p>
          <w:p w14:paraId="3499C52C" w14:textId="41096297" w:rsidR="008E3B87" w:rsidRPr="00A803FF" w:rsidRDefault="008E3B87" w:rsidP="002E0BA6">
            <w:pPr>
              <w:spacing w:line="240" w:lineRule="auto"/>
              <w:jc w:val="center"/>
              <w:rPr>
                <w:b/>
                <w:i/>
                <w:iCs/>
              </w:rPr>
            </w:pPr>
            <w:r>
              <w:t>(ISST)</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694547C" w14:textId="77777777" w:rsidR="00A81A9E" w:rsidRDefault="00A81A9E" w:rsidP="00A81A9E">
            <w:pPr>
              <w:spacing w:line="240" w:lineRule="auto"/>
            </w:pPr>
          </w:p>
          <w:p w14:paraId="6E471CA6" w14:textId="44FD8BB9" w:rsidR="00A81A9E" w:rsidRDefault="00A81A9E" w:rsidP="00D1758D">
            <w:pPr>
              <w:spacing w:line="240" w:lineRule="auto"/>
              <w:jc w:val="center"/>
            </w:pPr>
            <w:r>
              <w:t xml:space="preserve">Intervention syndicale </w:t>
            </w:r>
          </w:p>
          <w:p w14:paraId="0BAF8CE8" w14:textId="06C90E4C" w:rsidR="00A81A9E" w:rsidRPr="00A81A9E" w:rsidRDefault="00A81A9E" w:rsidP="00A81A9E">
            <w:pPr>
              <w:spacing w:line="240" w:lineRule="auto"/>
              <w:jc w:val="center"/>
              <w:rPr>
                <w:b/>
                <w:bCs/>
              </w:rPr>
            </w:pPr>
            <w:r w:rsidRPr="00A81A9E">
              <w:rPr>
                <w:b/>
                <w:bCs/>
              </w:rPr>
              <w:t>Camille Hecquet</w:t>
            </w:r>
          </w:p>
          <w:p w14:paraId="0BDE0004" w14:textId="109C08DA" w:rsidR="00A81A9E" w:rsidRDefault="00A81A9E" w:rsidP="00D1758D">
            <w:pPr>
              <w:spacing w:line="240" w:lineRule="auto"/>
              <w:jc w:val="center"/>
            </w:pPr>
            <w:r>
              <w:t>(CGT)</w:t>
            </w:r>
          </w:p>
          <w:p w14:paraId="6C8CCB4F" w14:textId="77777777" w:rsidR="00A81A9E" w:rsidRDefault="00A81A9E" w:rsidP="00D1758D">
            <w:pPr>
              <w:spacing w:line="240" w:lineRule="auto"/>
              <w:jc w:val="center"/>
            </w:pPr>
          </w:p>
          <w:p w14:paraId="103545FC" w14:textId="3922ECAA" w:rsidR="00D1758D" w:rsidRDefault="00631436" w:rsidP="00D1758D">
            <w:pPr>
              <w:spacing w:line="240" w:lineRule="auto"/>
              <w:jc w:val="center"/>
            </w:pPr>
            <w:r>
              <w:t>Restitution</w:t>
            </w:r>
            <w:r w:rsidR="00234214">
              <w:t>s</w:t>
            </w:r>
            <w:r w:rsidR="00B01A24">
              <w:t xml:space="preserve"> des </w:t>
            </w:r>
            <w:r w:rsidR="00D1758D">
              <w:t xml:space="preserve">jugements/ </w:t>
            </w:r>
          </w:p>
          <w:p w14:paraId="5B36A402" w14:textId="77777777" w:rsidR="00D1758D" w:rsidRDefault="00D1758D" w:rsidP="00D1758D">
            <w:pPr>
              <w:spacing w:line="240" w:lineRule="auto"/>
              <w:jc w:val="center"/>
            </w:pPr>
            <w:r>
              <w:t xml:space="preserve">Restitution des </w:t>
            </w:r>
          </w:p>
          <w:p w14:paraId="0B812BBA" w14:textId="2460A3EF" w:rsidR="00D1758D" w:rsidRPr="00EE3B73" w:rsidRDefault="00EE3B73" w:rsidP="00D1758D">
            <w:pPr>
              <w:spacing w:line="240" w:lineRule="auto"/>
              <w:jc w:val="center"/>
              <w:rPr>
                <w:lang w:val="en-US"/>
              </w:rPr>
            </w:pPr>
            <w:r>
              <w:t>synthèses</w:t>
            </w:r>
          </w:p>
          <w:p w14:paraId="07FA93AD" w14:textId="77777777" w:rsidR="00631436" w:rsidRPr="00EE3B73" w:rsidRDefault="00631436" w:rsidP="00720E9A">
            <w:pPr>
              <w:spacing w:line="240" w:lineRule="auto"/>
              <w:jc w:val="center"/>
              <w:rPr>
                <w:lang w:val="en-US"/>
              </w:rPr>
            </w:pPr>
          </w:p>
          <w:p w14:paraId="300906E5" w14:textId="1F19B7C7" w:rsidR="008E3B87" w:rsidRPr="00EE3B73" w:rsidRDefault="008E3B87" w:rsidP="00D1758D">
            <w:pPr>
              <w:spacing w:line="240" w:lineRule="auto"/>
              <w:jc w:val="center"/>
              <w:rPr>
                <w:b/>
                <w:bCs/>
                <w:szCs w:val="24"/>
                <w:lang w:val="en-US"/>
              </w:rPr>
            </w:pPr>
            <w:r w:rsidRPr="00EE3B73">
              <w:rPr>
                <w:b/>
                <w:bCs/>
                <w:lang w:val="en-US"/>
              </w:rPr>
              <w:t>J. Morin/</w:t>
            </w:r>
            <w:r w:rsidR="00D1758D" w:rsidRPr="00EE3B73">
              <w:rPr>
                <w:b/>
                <w:bCs/>
                <w:szCs w:val="24"/>
                <w:lang w:val="en-US"/>
              </w:rPr>
              <w:t xml:space="preserve"> </w:t>
            </w:r>
            <w:r w:rsidR="00A81A9E">
              <w:rPr>
                <w:b/>
                <w:bCs/>
                <w:szCs w:val="24"/>
              </w:rPr>
              <w:t>C. Yuste</w:t>
            </w:r>
          </w:p>
          <w:p w14:paraId="36067025" w14:textId="5594FF66" w:rsidR="008E3B87" w:rsidRPr="00EE3B73" w:rsidRDefault="008E3B87" w:rsidP="008E3B87">
            <w:pPr>
              <w:pStyle w:val="Corpsdetexte"/>
              <w:autoSpaceDE/>
              <w:rPr>
                <w:rFonts w:ascii="Times New Roman" w:hAnsi="Times New Roman" w:cs="Times New Roman"/>
                <w:lang w:val="en-US"/>
              </w:rPr>
            </w:pPr>
            <w:r w:rsidRPr="00EE3B73">
              <w:rPr>
                <w:rFonts w:ascii="Times New Roman" w:hAnsi="Times New Roman" w:cs="Times New Roman"/>
                <w:lang w:val="en-US"/>
              </w:rPr>
              <w:t xml:space="preserve">(ISST) </w:t>
            </w:r>
          </w:p>
          <w:p w14:paraId="53A7C602" w14:textId="4003B62C" w:rsidR="00631436" w:rsidRDefault="00631436" w:rsidP="00631436">
            <w:pPr>
              <w:spacing w:line="240" w:lineRule="auto"/>
              <w:jc w:val="center"/>
            </w:pPr>
            <w:r>
              <w:rPr>
                <w:sz w:val="20"/>
              </w:rPr>
              <w:t>___________</w:t>
            </w:r>
          </w:p>
          <w:p w14:paraId="2C7AE20D" w14:textId="77777777" w:rsidR="00631436" w:rsidRDefault="00631436" w:rsidP="008E3B87">
            <w:pPr>
              <w:spacing w:line="240" w:lineRule="auto"/>
            </w:pPr>
          </w:p>
          <w:p w14:paraId="161A1B83" w14:textId="77777777" w:rsidR="00A803FF" w:rsidRPr="00A803FF" w:rsidRDefault="00A803FF" w:rsidP="00B01A24">
            <w:pPr>
              <w:spacing w:line="240" w:lineRule="auto"/>
              <w:jc w:val="center"/>
              <w:rPr>
                <w:i/>
              </w:rPr>
            </w:pPr>
          </w:p>
        </w:tc>
      </w:tr>
      <w:tr w:rsidR="007959F6" w14:paraId="77D1FBAB" w14:textId="77777777" w:rsidTr="00D1758D">
        <w:tc>
          <w:tcPr>
            <w:tcW w:w="982" w:type="dxa"/>
            <w:tcBorders>
              <w:top w:val="single" w:sz="4" w:space="0" w:color="000000"/>
              <w:left w:val="single" w:sz="4" w:space="0" w:color="000000"/>
              <w:bottom w:val="single" w:sz="4" w:space="0" w:color="000000"/>
            </w:tcBorders>
            <w:shd w:val="clear" w:color="auto" w:fill="auto"/>
          </w:tcPr>
          <w:p w14:paraId="078435BB" w14:textId="0A449761" w:rsidR="007959F6" w:rsidRDefault="007959F6">
            <w:pPr>
              <w:spacing w:line="240" w:lineRule="auto"/>
              <w:jc w:val="center"/>
            </w:pPr>
          </w:p>
        </w:tc>
        <w:tc>
          <w:tcPr>
            <w:tcW w:w="2345" w:type="dxa"/>
            <w:tcBorders>
              <w:top w:val="single" w:sz="4" w:space="0" w:color="000000"/>
              <w:left w:val="single" w:sz="4" w:space="0" w:color="000000"/>
              <w:bottom w:val="single" w:sz="4" w:space="0" w:color="000000"/>
            </w:tcBorders>
            <w:shd w:val="clear" w:color="auto" w:fill="auto"/>
          </w:tcPr>
          <w:p w14:paraId="760E0280" w14:textId="77777777" w:rsidR="007959F6" w:rsidRDefault="007959F6">
            <w:pPr>
              <w:snapToGrid w:val="0"/>
              <w:spacing w:line="240" w:lineRule="auto"/>
              <w:jc w:val="center"/>
            </w:pPr>
          </w:p>
        </w:tc>
        <w:tc>
          <w:tcPr>
            <w:tcW w:w="2475" w:type="dxa"/>
            <w:tcBorders>
              <w:top w:val="single" w:sz="4" w:space="0" w:color="000000"/>
              <w:left w:val="single" w:sz="4" w:space="0" w:color="000000"/>
              <w:bottom w:val="single" w:sz="4" w:space="0" w:color="000000"/>
            </w:tcBorders>
            <w:shd w:val="clear" w:color="auto" w:fill="auto"/>
          </w:tcPr>
          <w:p w14:paraId="1282E8D9" w14:textId="77777777" w:rsidR="007959F6" w:rsidRDefault="007959F6">
            <w:pPr>
              <w:snapToGrid w:val="0"/>
              <w:spacing w:line="240" w:lineRule="auto"/>
              <w:jc w:val="center"/>
            </w:pPr>
          </w:p>
        </w:tc>
        <w:tc>
          <w:tcPr>
            <w:tcW w:w="2410" w:type="dxa"/>
            <w:tcBorders>
              <w:top w:val="single" w:sz="4" w:space="0" w:color="000000"/>
              <w:left w:val="single" w:sz="4" w:space="0" w:color="000000"/>
              <w:bottom w:val="single" w:sz="4" w:space="0" w:color="000000"/>
            </w:tcBorders>
            <w:shd w:val="clear" w:color="auto" w:fill="auto"/>
          </w:tcPr>
          <w:p w14:paraId="432B76DE" w14:textId="77777777" w:rsidR="007959F6" w:rsidRDefault="007959F6">
            <w:pPr>
              <w:snapToGrid w:val="0"/>
              <w:spacing w:line="240" w:lineRule="auto"/>
            </w:pPr>
          </w:p>
        </w:tc>
        <w:tc>
          <w:tcPr>
            <w:tcW w:w="2514" w:type="dxa"/>
            <w:tcBorders>
              <w:top w:val="single" w:sz="4" w:space="0" w:color="000000"/>
              <w:left w:val="single" w:sz="4" w:space="0" w:color="000000"/>
              <w:bottom w:val="single" w:sz="4" w:space="0" w:color="000000"/>
            </w:tcBorders>
            <w:shd w:val="clear" w:color="auto" w:fill="auto"/>
          </w:tcPr>
          <w:p w14:paraId="757BF8AA" w14:textId="77777777" w:rsidR="007959F6" w:rsidRDefault="007959F6">
            <w:pPr>
              <w:snapToGrid w:val="0"/>
              <w:spacing w:line="240" w:lineRule="auto"/>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FFF7FAE" w14:textId="77777777" w:rsidR="007959F6" w:rsidRDefault="007959F6">
            <w:pPr>
              <w:snapToGrid w:val="0"/>
              <w:spacing w:line="240" w:lineRule="auto"/>
            </w:pPr>
          </w:p>
        </w:tc>
      </w:tr>
      <w:tr w:rsidR="007959F6" w:rsidRPr="00C34419" w14:paraId="0D19A0EA" w14:textId="77777777" w:rsidTr="005809B8">
        <w:trPr>
          <w:trHeight w:val="2813"/>
        </w:trPr>
        <w:tc>
          <w:tcPr>
            <w:tcW w:w="982" w:type="dxa"/>
            <w:tcBorders>
              <w:top w:val="single" w:sz="4" w:space="0" w:color="000000"/>
              <w:left w:val="single" w:sz="4" w:space="0" w:color="000000"/>
              <w:bottom w:val="single" w:sz="4" w:space="0" w:color="000000"/>
            </w:tcBorders>
            <w:shd w:val="clear" w:color="auto" w:fill="auto"/>
          </w:tcPr>
          <w:p w14:paraId="4DB0B792" w14:textId="77777777" w:rsidR="007959F6" w:rsidRDefault="007959F6">
            <w:pPr>
              <w:spacing w:line="240" w:lineRule="auto"/>
              <w:jc w:val="center"/>
            </w:pPr>
            <w:r>
              <w:lastRenderedPageBreak/>
              <w:t>14h</w:t>
            </w:r>
          </w:p>
          <w:p w14:paraId="0F7F3DF9" w14:textId="77777777" w:rsidR="007959F6" w:rsidRDefault="007959F6">
            <w:pPr>
              <w:spacing w:line="240" w:lineRule="auto"/>
              <w:jc w:val="center"/>
            </w:pPr>
          </w:p>
          <w:p w14:paraId="1F793C72" w14:textId="77777777" w:rsidR="007959F6" w:rsidRDefault="007959F6">
            <w:pPr>
              <w:spacing w:line="240" w:lineRule="auto"/>
              <w:jc w:val="center"/>
            </w:pPr>
          </w:p>
          <w:p w14:paraId="0910A3BB" w14:textId="77777777" w:rsidR="007959F6" w:rsidRDefault="007959F6">
            <w:pPr>
              <w:spacing w:line="240" w:lineRule="auto"/>
              <w:jc w:val="center"/>
            </w:pPr>
          </w:p>
          <w:p w14:paraId="5E65E6E4" w14:textId="77777777" w:rsidR="007959F6" w:rsidRDefault="007959F6">
            <w:pPr>
              <w:spacing w:line="240" w:lineRule="auto"/>
              <w:jc w:val="center"/>
            </w:pPr>
          </w:p>
          <w:p w14:paraId="0657AE3F" w14:textId="77777777" w:rsidR="007959F6" w:rsidRDefault="007959F6">
            <w:pPr>
              <w:spacing w:line="240" w:lineRule="auto"/>
              <w:jc w:val="center"/>
            </w:pPr>
          </w:p>
          <w:p w14:paraId="43EE50F7" w14:textId="0BE05ACF" w:rsidR="007959F6" w:rsidRDefault="007959F6">
            <w:pPr>
              <w:spacing w:line="240" w:lineRule="auto"/>
            </w:pPr>
          </w:p>
        </w:tc>
        <w:tc>
          <w:tcPr>
            <w:tcW w:w="2345" w:type="dxa"/>
            <w:tcBorders>
              <w:top w:val="single" w:sz="4" w:space="0" w:color="000000"/>
              <w:left w:val="single" w:sz="4" w:space="0" w:color="000000"/>
              <w:bottom w:val="single" w:sz="4" w:space="0" w:color="000000"/>
            </w:tcBorders>
            <w:shd w:val="clear" w:color="auto" w:fill="auto"/>
          </w:tcPr>
          <w:p w14:paraId="28A4E8C7" w14:textId="77777777" w:rsidR="007959F6" w:rsidRDefault="007959F6">
            <w:pPr>
              <w:pStyle w:val="Corpsdetexte"/>
              <w:autoSpaceDE/>
              <w:snapToGrid w:val="0"/>
            </w:pPr>
          </w:p>
          <w:p w14:paraId="5982D3FD" w14:textId="77777777" w:rsidR="005368CA" w:rsidRDefault="00A803FF">
            <w:pPr>
              <w:spacing w:line="240" w:lineRule="auto"/>
              <w:jc w:val="center"/>
            </w:pPr>
            <w:r>
              <w:t>Suite</w:t>
            </w:r>
          </w:p>
          <w:p w14:paraId="55175C89" w14:textId="32205EB6" w:rsidR="008E3B87" w:rsidRDefault="00A81A9E" w:rsidP="005368CA">
            <w:pPr>
              <w:spacing w:line="240" w:lineRule="auto"/>
              <w:jc w:val="center"/>
              <w:rPr>
                <w:b/>
                <w:bCs/>
                <w:szCs w:val="24"/>
              </w:rPr>
            </w:pPr>
            <w:r>
              <w:rPr>
                <w:b/>
                <w:bCs/>
                <w:szCs w:val="24"/>
              </w:rPr>
              <w:t>J. Morin</w:t>
            </w:r>
          </w:p>
          <w:p w14:paraId="0B0B6582" w14:textId="6A04CC1D" w:rsidR="007959F6" w:rsidRPr="008E3B87" w:rsidRDefault="008E3B87" w:rsidP="005368CA">
            <w:pPr>
              <w:spacing w:line="240" w:lineRule="auto"/>
              <w:jc w:val="center"/>
              <w:rPr>
                <w:szCs w:val="24"/>
              </w:rPr>
            </w:pPr>
            <w:r w:rsidRPr="008E3B87">
              <w:t>(ISST)</w:t>
            </w:r>
          </w:p>
        </w:tc>
        <w:tc>
          <w:tcPr>
            <w:tcW w:w="2475" w:type="dxa"/>
            <w:tcBorders>
              <w:top w:val="single" w:sz="4" w:space="0" w:color="000000"/>
              <w:left w:val="single" w:sz="4" w:space="0" w:color="000000"/>
              <w:bottom w:val="single" w:sz="4" w:space="0" w:color="000000"/>
            </w:tcBorders>
            <w:shd w:val="clear" w:color="auto" w:fill="auto"/>
          </w:tcPr>
          <w:p w14:paraId="4F41E279" w14:textId="77777777" w:rsidR="007959F6" w:rsidRDefault="007959F6">
            <w:pPr>
              <w:pStyle w:val="Corpsdetexte"/>
              <w:autoSpaceDE/>
              <w:snapToGrid w:val="0"/>
              <w:rPr>
                <w:rFonts w:ascii="Times New Roman" w:hAnsi="Times New Roman" w:cs="Times New Roman"/>
                <w:szCs w:val="24"/>
              </w:rPr>
            </w:pPr>
          </w:p>
          <w:p w14:paraId="2D0E21F8" w14:textId="16195F8E" w:rsidR="0002172F" w:rsidRDefault="00D1758D" w:rsidP="0002172F">
            <w:pPr>
              <w:pStyle w:val="Corpsdetexte"/>
              <w:autoSpaceDE/>
            </w:pPr>
            <w:r>
              <w:t xml:space="preserve">Rédaction de jugement </w:t>
            </w:r>
          </w:p>
          <w:p w14:paraId="1239F180" w14:textId="3D775E58" w:rsidR="0002172F" w:rsidRPr="00D1758D" w:rsidRDefault="0002172F" w:rsidP="00D1758D">
            <w:pPr>
              <w:spacing w:line="240" w:lineRule="auto"/>
              <w:jc w:val="center"/>
              <w:rPr>
                <w:b/>
                <w:bCs/>
                <w:szCs w:val="24"/>
              </w:rPr>
            </w:pPr>
            <w:r w:rsidRPr="008E3B87">
              <w:rPr>
                <w:b/>
                <w:bCs/>
              </w:rPr>
              <w:t>J. Morin/</w:t>
            </w:r>
            <w:r w:rsidR="00D1758D">
              <w:rPr>
                <w:b/>
                <w:bCs/>
                <w:szCs w:val="24"/>
              </w:rPr>
              <w:t xml:space="preserve"> </w:t>
            </w:r>
            <w:r w:rsidR="00A81A9E">
              <w:rPr>
                <w:b/>
                <w:bCs/>
                <w:szCs w:val="24"/>
              </w:rPr>
              <w:t>C</w:t>
            </w:r>
            <w:r w:rsidR="00D1758D">
              <w:rPr>
                <w:b/>
                <w:bCs/>
                <w:szCs w:val="24"/>
              </w:rPr>
              <w:t xml:space="preserve">. </w:t>
            </w:r>
            <w:r w:rsidR="00A81A9E">
              <w:rPr>
                <w:b/>
                <w:bCs/>
                <w:szCs w:val="24"/>
              </w:rPr>
              <w:t>Yuste</w:t>
            </w:r>
            <w:r w:rsidR="00D1758D">
              <w:rPr>
                <w:b/>
                <w:bCs/>
              </w:rPr>
              <w:t xml:space="preserve"> </w:t>
            </w:r>
            <w:r w:rsidR="00F97492">
              <w:rPr>
                <w:b/>
                <w:bCs/>
              </w:rPr>
              <w:t>/F. Quéré</w:t>
            </w:r>
          </w:p>
          <w:p w14:paraId="2D9A2947" w14:textId="26088FF6" w:rsidR="008E3B87" w:rsidRPr="001E4BE1" w:rsidRDefault="008E3B87" w:rsidP="00720E9A">
            <w:pPr>
              <w:spacing w:line="240" w:lineRule="auto"/>
              <w:jc w:val="center"/>
              <w:rPr>
                <w:iCs/>
              </w:rPr>
            </w:pPr>
          </w:p>
        </w:tc>
        <w:tc>
          <w:tcPr>
            <w:tcW w:w="2410" w:type="dxa"/>
            <w:tcBorders>
              <w:top w:val="single" w:sz="4" w:space="0" w:color="000000"/>
              <w:left w:val="single" w:sz="4" w:space="0" w:color="000000"/>
              <w:bottom w:val="single" w:sz="4" w:space="0" w:color="000000"/>
            </w:tcBorders>
            <w:shd w:val="clear" w:color="auto" w:fill="auto"/>
          </w:tcPr>
          <w:p w14:paraId="7BDC7D4D" w14:textId="5A67F9FC" w:rsidR="00720E9A" w:rsidRDefault="00720E9A" w:rsidP="00720E9A">
            <w:pPr>
              <w:pStyle w:val="Corpsdetexte"/>
              <w:autoSpaceDE/>
              <w:rPr>
                <w:b/>
                <w:iCs/>
              </w:rPr>
            </w:pPr>
          </w:p>
          <w:p w14:paraId="2B73166F" w14:textId="77777777" w:rsidR="00F97492" w:rsidRDefault="00F97492" w:rsidP="00F97492">
            <w:pPr>
              <w:pStyle w:val="Corpsdetexte"/>
              <w:autoSpaceDE/>
            </w:pPr>
            <w:r>
              <w:t>Rédaction de jugement</w:t>
            </w:r>
          </w:p>
          <w:p w14:paraId="6767D8CD" w14:textId="1B5AA5D6" w:rsidR="00D1758D" w:rsidRDefault="00F97492" w:rsidP="00D1758D">
            <w:pPr>
              <w:spacing w:line="240" w:lineRule="auto"/>
              <w:jc w:val="center"/>
              <w:rPr>
                <w:b/>
                <w:bCs/>
                <w:szCs w:val="24"/>
              </w:rPr>
            </w:pPr>
            <w:r w:rsidRPr="008E3B87">
              <w:rPr>
                <w:b/>
                <w:bCs/>
              </w:rPr>
              <w:t>J. Morin/</w:t>
            </w:r>
            <w:r w:rsidR="00D1758D">
              <w:rPr>
                <w:b/>
                <w:bCs/>
                <w:szCs w:val="24"/>
              </w:rPr>
              <w:t xml:space="preserve"> </w:t>
            </w:r>
            <w:r w:rsidR="00A81A9E">
              <w:rPr>
                <w:b/>
                <w:bCs/>
                <w:szCs w:val="24"/>
              </w:rPr>
              <w:t>C. Yuste</w:t>
            </w:r>
          </w:p>
          <w:p w14:paraId="79307B5C" w14:textId="15F51D32" w:rsidR="00F97492" w:rsidRPr="008E3B87" w:rsidRDefault="00F97492" w:rsidP="00F97492">
            <w:pPr>
              <w:pStyle w:val="Corpsdetexte"/>
              <w:autoSpaceDE/>
              <w:rPr>
                <w:rFonts w:ascii="Times New Roman" w:hAnsi="Times New Roman" w:cs="Times New Roman"/>
                <w:b/>
                <w:bCs/>
              </w:rPr>
            </w:pPr>
            <w:r>
              <w:rPr>
                <w:rFonts w:ascii="Times New Roman" w:hAnsi="Times New Roman" w:cs="Times New Roman"/>
                <w:b/>
                <w:bCs/>
              </w:rPr>
              <w:t>/F. Quéré</w:t>
            </w:r>
          </w:p>
          <w:p w14:paraId="6187E69D" w14:textId="77777777" w:rsidR="00A803FF" w:rsidRPr="005D65D6" w:rsidRDefault="00A803FF" w:rsidP="00B01A24">
            <w:pPr>
              <w:pStyle w:val="Corpsdetexte"/>
              <w:autoSpaceDE/>
            </w:pPr>
          </w:p>
        </w:tc>
        <w:tc>
          <w:tcPr>
            <w:tcW w:w="2514" w:type="dxa"/>
            <w:tcBorders>
              <w:top w:val="single" w:sz="4" w:space="0" w:color="000000"/>
              <w:left w:val="single" w:sz="4" w:space="0" w:color="000000"/>
              <w:bottom w:val="single" w:sz="4" w:space="0" w:color="000000"/>
            </w:tcBorders>
            <w:shd w:val="clear" w:color="auto" w:fill="auto"/>
          </w:tcPr>
          <w:p w14:paraId="35A6F133" w14:textId="77777777" w:rsidR="007959F6" w:rsidRDefault="007959F6">
            <w:pPr>
              <w:pStyle w:val="Corpsdetexte"/>
              <w:autoSpaceDE/>
            </w:pPr>
          </w:p>
          <w:p w14:paraId="53F96CDC" w14:textId="77777777" w:rsidR="00F97492" w:rsidRDefault="00F97492" w:rsidP="00F97492">
            <w:pPr>
              <w:pStyle w:val="Corpsdetexte"/>
              <w:autoSpaceDE/>
            </w:pPr>
            <w:r>
              <w:t>Rédaction de jugement</w:t>
            </w:r>
          </w:p>
          <w:p w14:paraId="3313E256" w14:textId="2A198762" w:rsidR="00D1758D" w:rsidRDefault="00F97492" w:rsidP="00D1758D">
            <w:pPr>
              <w:spacing w:line="240" w:lineRule="auto"/>
              <w:jc w:val="center"/>
              <w:rPr>
                <w:b/>
                <w:bCs/>
                <w:szCs w:val="24"/>
              </w:rPr>
            </w:pPr>
            <w:r w:rsidRPr="008E3B87">
              <w:rPr>
                <w:b/>
                <w:bCs/>
              </w:rPr>
              <w:t>J. Morin/</w:t>
            </w:r>
            <w:r w:rsidR="00D1758D">
              <w:rPr>
                <w:b/>
                <w:bCs/>
                <w:szCs w:val="24"/>
              </w:rPr>
              <w:t xml:space="preserve"> L. Driguez</w:t>
            </w:r>
          </w:p>
          <w:p w14:paraId="22D21841" w14:textId="1CDECADF" w:rsidR="00F97492" w:rsidRPr="008E3B87" w:rsidRDefault="00F97492" w:rsidP="00F97492">
            <w:pPr>
              <w:pStyle w:val="Corpsdetexte"/>
              <w:autoSpaceDE/>
              <w:rPr>
                <w:rFonts w:ascii="Times New Roman" w:hAnsi="Times New Roman" w:cs="Times New Roman"/>
                <w:b/>
                <w:bCs/>
              </w:rPr>
            </w:pPr>
            <w:r>
              <w:rPr>
                <w:rFonts w:ascii="Times New Roman" w:hAnsi="Times New Roman" w:cs="Times New Roman"/>
                <w:b/>
                <w:bCs/>
              </w:rPr>
              <w:t>/F. Quéré</w:t>
            </w:r>
          </w:p>
          <w:p w14:paraId="607FF509" w14:textId="5A52910F" w:rsidR="00A803FF" w:rsidRPr="0036121F" w:rsidRDefault="00A803FF" w:rsidP="002E0BA6">
            <w:pPr>
              <w:pStyle w:val="Corpsdetexte"/>
              <w:autoSpaceDE/>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13DCBEA" w14:textId="77777777" w:rsidR="008C51AF" w:rsidRDefault="008C51AF" w:rsidP="008E3B87">
            <w:pPr>
              <w:spacing w:line="240" w:lineRule="auto"/>
            </w:pPr>
          </w:p>
          <w:p w14:paraId="67A22E37" w14:textId="7813F8D4" w:rsidR="008C51AF" w:rsidRDefault="008C51AF" w:rsidP="008C51AF">
            <w:pPr>
              <w:spacing w:line="240" w:lineRule="auto"/>
              <w:jc w:val="center"/>
            </w:pPr>
            <w:r>
              <w:t>Bilan de la session</w:t>
            </w:r>
          </w:p>
          <w:p w14:paraId="20F5B47B" w14:textId="77777777" w:rsidR="007959F6" w:rsidRPr="008129CA" w:rsidRDefault="007959F6">
            <w:pPr>
              <w:spacing w:line="240" w:lineRule="auto"/>
              <w:jc w:val="center"/>
            </w:pPr>
          </w:p>
        </w:tc>
      </w:tr>
    </w:tbl>
    <w:p w14:paraId="5869C098" w14:textId="77777777" w:rsidR="005809B8" w:rsidRPr="0063549B" w:rsidRDefault="005809B8" w:rsidP="005809B8">
      <w:pPr>
        <w:widowControl w:val="0"/>
        <w:spacing w:line="276" w:lineRule="auto"/>
        <w:jc w:val="center"/>
        <w:rPr>
          <w:b/>
          <w:szCs w:val="24"/>
        </w:rPr>
      </w:pPr>
      <w:r w:rsidRPr="0063549B">
        <w:rPr>
          <w:b/>
          <w:szCs w:val="24"/>
        </w:rPr>
        <w:t>PRESENTATION DU STAGE</w:t>
      </w:r>
    </w:p>
    <w:p w14:paraId="6C0E5D75" w14:textId="77777777" w:rsidR="005809B8" w:rsidRDefault="005809B8" w:rsidP="005809B8">
      <w:pPr>
        <w:widowControl w:val="0"/>
        <w:spacing w:line="276" w:lineRule="auto"/>
      </w:pPr>
    </w:p>
    <w:p w14:paraId="7E245453" w14:textId="5F1820DB" w:rsidR="005809B8" w:rsidRDefault="005809B8" w:rsidP="005809B8">
      <w:pPr>
        <w:widowControl w:val="0"/>
        <w:spacing w:line="276" w:lineRule="auto"/>
        <w:rPr>
          <w:szCs w:val="24"/>
        </w:rPr>
      </w:pPr>
      <w:r w:rsidRPr="0063549B">
        <w:rPr>
          <w:b/>
          <w:szCs w:val="24"/>
        </w:rPr>
        <w:t>Public</w:t>
      </w:r>
      <w:r w:rsidRPr="0063549B">
        <w:rPr>
          <w:szCs w:val="24"/>
        </w:rPr>
        <w:t xml:space="preserve"> : </w:t>
      </w:r>
      <w:r>
        <w:rPr>
          <w:szCs w:val="24"/>
        </w:rPr>
        <w:t>Ce stage s’adresse à des militants syndicaux titulaires de mandats au sein du conseil des prud’hommes. Certains des stagiaires cumulent l’une de ces fonctions avec des mandats dans l’entreprise  délégués syndicaux, membre du CSE… La majorité interviennent dans le secteur privé.</w:t>
      </w:r>
    </w:p>
    <w:p w14:paraId="52C3FA0C" w14:textId="77777777" w:rsidR="005809B8" w:rsidRDefault="005809B8" w:rsidP="005809B8">
      <w:pPr>
        <w:widowControl w:val="0"/>
        <w:spacing w:line="276" w:lineRule="auto"/>
        <w:rPr>
          <w:szCs w:val="24"/>
        </w:rPr>
      </w:pPr>
    </w:p>
    <w:p w14:paraId="435C8EFA" w14:textId="4CCA76F0" w:rsidR="005809B8" w:rsidRDefault="005809B8" w:rsidP="005809B8">
      <w:pPr>
        <w:widowControl w:val="0"/>
        <w:spacing w:line="276" w:lineRule="auto"/>
        <w:rPr>
          <w:szCs w:val="24"/>
        </w:rPr>
      </w:pPr>
      <w:r w:rsidRPr="0063549B">
        <w:rPr>
          <w:b/>
          <w:szCs w:val="24"/>
        </w:rPr>
        <w:t>Objectifs du stage</w:t>
      </w:r>
      <w:r>
        <w:rPr>
          <w:szCs w:val="24"/>
        </w:rPr>
        <w:t xml:space="preserve"> : La formation a pour objectif de sensibiliser les participants au risque discriminatoire en entreprise. Les modules juridiques prépondérants sont destinés à permettre aux participants d’identifier avec rigueur les pratiques de discriminations au sein des entreprises, à les distinguer des manquements – non discriminatoires - à l’égalité de traitement. Les interventions viseront aussi à garantir une pleine maitrise du droit positif sur les différents aspects du régime de la discrimination en travaillant à la fois les dimensions probatoires que les conséquences indemnitaires. Une place importante est réservée à la rédaction d’un jugement pour mettre les conseillers en situation </w:t>
      </w:r>
      <w:r w:rsidR="007F619F">
        <w:rPr>
          <w:szCs w:val="24"/>
        </w:rPr>
        <w:t xml:space="preserve">concrète.  </w:t>
      </w:r>
      <w:r>
        <w:rPr>
          <w:szCs w:val="24"/>
        </w:rPr>
        <w:t xml:space="preserve">   </w:t>
      </w:r>
    </w:p>
    <w:p w14:paraId="50E5E6E2" w14:textId="77777777" w:rsidR="005809B8" w:rsidRDefault="005809B8" w:rsidP="005809B8">
      <w:pPr>
        <w:widowControl w:val="0"/>
        <w:spacing w:line="276" w:lineRule="auto"/>
        <w:rPr>
          <w:szCs w:val="24"/>
        </w:rPr>
      </w:pPr>
    </w:p>
    <w:p w14:paraId="1ED752AE" w14:textId="77777777" w:rsidR="005809B8" w:rsidRDefault="005809B8" w:rsidP="005809B8">
      <w:pPr>
        <w:widowControl w:val="0"/>
        <w:spacing w:line="276" w:lineRule="auto"/>
        <w:rPr>
          <w:szCs w:val="24"/>
        </w:rPr>
      </w:pPr>
      <w:r w:rsidRPr="006A71E4">
        <w:rPr>
          <w:b/>
          <w:szCs w:val="24"/>
        </w:rPr>
        <w:t>Description</w:t>
      </w:r>
      <w:r>
        <w:rPr>
          <w:szCs w:val="24"/>
        </w:rPr>
        <w:t> </w:t>
      </w:r>
      <w:r w:rsidRPr="006A71E4">
        <w:rPr>
          <w:b/>
          <w:szCs w:val="24"/>
        </w:rPr>
        <w:t>du contenu</w:t>
      </w:r>
      <w:r>
        <w:rPr>
          <w:szCs w:val="24"/>
        </w:rPr>
        <w:t xml:space="preserve"> : </w:t>
      </w:r>
    </w:p>
    <w:p w14:paraId="458BAA3D" w14:textId="77777777" w:rsidR="005809B8" w:rsidRDefault="005809B8" w:rsidP="005809B8">
      <w:pPr>
        <w:widowControl w:val="0"/>
        <w:spacing w:line="276" w:lineRule="auto"/>
        <w:rPr>
          <w:szCs w:val="24"/>
        </w:rPr>
      </w:pPr>
      <w:r>
        <w:rPr>
          <w:szCs w:val="24"/>
        </w:rPr>
        <w:t>- des cours de droit sur la notion de discrimination, l’examen plus précis de motifs discriminatoires, le régime de la preuve et des sanctions des discriminations</w:t>
      </w:r>
    </w:p>
    <w:p w14:paraId="1A0EB583" w14:textId="13755A59" w:rsidR="005809B8" w:rsidRDefault="005809B8" w:rsidP="005809B8">
      <w:pPr>
        <w:widowControl w:val="0"/>
        <w:spacing w:line="276" w:lineRule="auto"/>
        <w:rPr>
          <w:szCs w:val="24"/>
        </w:rPr>
      </w:pPr>
      <w:r>
        <w:rPr>
          <w:szCs w:val="24"/>
        </w:rPr>
        <w:t xml:space="preserve">- une intervention juridique </w:t>
      </w:r>
      <w:r w:rsidR="007F619F">
        <w:rPr>
          <w:szCs w:val="24"/>
        </w:rPr>
        <w:t xml:space="preserve">sur le contentieux probatoire de la discrimination accomplie par un avocat spécialisé sur cette problématique. </w:t>
      </w:r>
    </w:p>
    <w:p w14:paraId="1817BE82" w14:textId="1F86B402" w:rsidR="007F619F" w:rsidRDefault="007F619F" w:rsidP="005809B8">
      <w:pPr>
        <w:widowControl w:val="0"/>
        <w:spacing w:line="276" w:lineRule="auto"/>
        <w:rPr>
          <w:szCs w:val="24"/>
        </w:rPr>
      </w:pPr>
      <w:r>
        <w:rPr>
          <w:szCs w:val="24"/>
        </w:rPr>
        <w:t xml:space="preserve">- plusieurs après-midi consacrées à la rédaction de jugement </w:t>
      </w:r>
      <w:r w:rsidR="00211FBC">
        <w:rPr>
          <w:szCs w:val="24"/>
        </w:rPr>
        <w:t xml:space="preserve">à partir d’une affaire déjà jugée segmentées entre identification des demandes et moyens, délibération, et écriture. </w:t>
      </w:r>
    </w:p>
    <w:p w14:paraId="50BB1F36" w14:textId="77777777" w:rsidR="005809B8" w:rsidRDefault="005809B8" w:rsidP="005809B8">
      <w:pPr>
        <w:widowControl w:val="0"/>
        <w:spacing w:line="276" w:lineRule="auto"/>
        <w:rPr>
          <w:szCs w:val="24"/>
        </w:rPr>
      </w:pPr>
    </w:p>
    <w:p w14:paraId="1147F132" w14:textId="70609320" w:rsidR="005809B8" w:rsidRPr="00A81A9E" w:rsidRDefault="005809B8" w:rsidP="00A81A9E">
      <w:pPr>
        <w:widowControl w:val="0"/>
        <w:spacing w:line="276" w:lineRule="auto"/>
        <w:rPr>
          <w:szCs w:val="24"/>
        </w:rPr>
      </w:pPr>
      <w:r w:rsidRPr="00812CB7">
        <w:rPr>
          <w:b/>
          <w:szCs w:val="24"/>
        </w:rPr>
        <w:t>Pédagogie</w:t>
      </w:r>
      <w:r>
        <w:rPr>
          <w:szCs w:val="24"/>
        </w:rPr>
        <w:t> : le stage alternera interventions théoriques et pratiques. Des travaux de groupes viseront à vérifier la bonne compréhension des principaux points de droit. Un travail de synthèse sera proposé chaque soir avec restitution le vendredi matin pour un retour collectif sur les points abordés dans la semaine.</w:t>
      </w:r>
    </w:p>
    <w:sectPr w:rsidR="005809B8" w:rsidRPr="00A81A9E">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1A32B" w14:textId="77777777" w:rsidR="00667414" w:rsidRDefault="00667414" w:rsidP="002103DF">
      <w:pPr>
        <w:spacing w:line="240" w:lineRule="auto"/>
      </w:pPr>
      <w:r>
        <w:separator/>
      </w:r>
    </w:p>
  </w:endnote>
  <w:endnote w:type="continuationSeparator" w:id="0">
    <w:p w14:paraId="473AB243" w14:textId="77777777" w:rsidR="00667414" w:rsidRDefault="00667414" w:rsidP="0021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66C8" w14:textId="77777777" w:rsidR="002103DF" w:rsidRDefault="00210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D19A0" w14:textId="77777777" w:rsidR="002103DF" w:rsidRDefault="002103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C3AB" w14:textId="77777777" w:rsidR="002103DF" w:rsidRDefault="002103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3FF5" w14:textId="77777777" w:rsidR="00667414" w:rsidRDefault="00667414" w:rsidP="002103DF">
      <w:pPr>
        <w:spacing w:line="240" w:lineRule="auto"/>
      </w:pPr>
      <w:r>
        <w:separator/>
      </w:r>
    </w:p>
  </w:footnote>
  <w:footnote w:type="continuationSeparator" w:id="0">
    <w:p w14:paraId="1044B199" w14:textId="77777777" w:rsidR="00667414" w:rsidRDefault="00667414" w:rsidP="00210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5BD9" w14:textId="77777777" w:rsidR="002103DF" w:rsidRDefault="002103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95A1" w14:textId="77777777" w:rsidR="002103DF" w:rsidRDefault="002103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C432" w14:textId="77777777" w:rsidR="002103DF" w:rsidRDefault="002103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8F3328B"/>
    <w:multiLevelType w:val="hybridMultilevel"/>
    <w:tmpl w:val="F0FA280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72855107">
    <w:abstractNumId w:val="0"/>
  </w:num>
  <w:num w:numId="2" w16cid:durableId="149121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9"/>
    <w:rsid w:val="0000321F"/>
    <w:rsid w:val="00011AEC"/>
    <w:rsid w:val="0002172F"/>
    <w:rsid w:val="00063DBE"/>
    <w:rsid w:val="00077BC8"/>
    <w:rsid w:val="00087F85"/>
    <w:rsid w:val="000E2357"/>
    <w:rsid w:val="00131DDE"/>
    <w:rsid w:val="0014589E"/>
    <w:rsid w:val="00160C21"/>
    <w:rsid w:val="0019688D"/>
    <w:rsid w:val="001C040D"/>
    <w:rsid w:val="001C6CFE"/>
    <w:rsid w:val="001D10C0"/>
    <w:rsid w:val="001E4BE1"/>
    <w:rsid w:val="002103DF"/>
    <w:rsid w:val="00211FBC"/>
    <w:rsid w:val="00214218"/>
    <w:rsid w:val="00234214"/>
    <w:rsid w:val="00290A36"/>
    <w:rsid w:val="002B3909"/>
    <w:rsid w:val="002D6403"/>
    <w:rsid w:val="002E0BA6"/>
    <w:rsid w:val="00316C66"/>
    <w:rsid w:val="00356A6E"/>
    <w:rsid w:val="0036121F"/>
    <w:rsid w:val="003F0201"/>
    <w:rsid w:val="0040424B"/>
    <w:rsid w:val="00447770"/>
    <w:rsid w:val="004621C9"/>
    <w:rsid w:val="00481D6E"/>
    <w:rsid w:val="004C36E9"/>
    <w:rsid w:val="005148D3"/>
    <w:rsid w:val="005368CA"/>
    <w:rsid w:val="005809B8"/>
    <w:rsid w:val="005A25A2"/>
    <w:rsid w:val="005D65D6"/>
    <w:rsid w:val="005E6A5E"/>
    <w:rsid w:val="005F0754"/>
    <w:rsid w:val="00631436"/>
    <w:rsid w:val="00633C0C"/>
    <w:rsid w:val="00656DB1"/>
    <w:rsid w:val="00667414"/>
    <w:rsid w:val="006801C9"/>
    <w:rsid w:val="00685217"/>
    <w:rsid w:val="006E2C88"/>
    <w:rsid w:val="006E59EB"/>
    <w:rsid w:val="006F01B9"/>
    <w:rsid w:val="00704CA6"/>
    <w:rsid w:val="00720E9A"/>
    <w:rsid w:val="00760B8A"/>
    <w:rsid w:val="00774FEC"/>
    <w:rsid w:val="007959F6"/>
    <w:rsid w:val="007C2556"/>
    <w:rsid w:val="007E3BFE"/>
    <w:rsid w:val="007F619F"/>
    <w:rsid w:val="008129CA"/>
    <w:rsid w:val="008A2BFF"/>
    <w:rsid w:val="008C104F"/>
    <w:rsid w:val="008C51AF"/>
    <w:rsid w:val="008C6133"/>
    <w:rsid w:val="008E3B87"/>
    <w:rsid w:val="008F5F5C"/>
    <w:rsid w:val="0091139F"/>
    <w:rsid w:val="00912032"/>
    <w:rsid w:val="009340DF"/>
    <w:rsid w:val="00961CAD"/>
    <w:rsid w:val="00971BF0"/>
    <w:rsid w:val="009F0877"/>
    <w:rsid w:val="009F4A82"/>
    <w:rsid w:val="00A61646"/>
    <w:rsid w:val="00A7008E"/>
    <w:rsid w:val="00A803FF"/>
    <w:rsid w:val="00A81A9E"/>
    <w:rsid w:val="00AF3C34"/>
    <w:rsid w:val="00B01A24"/>
    <w:rsid w:val="00B1075F"/>
    <w:rsid w:val="00B16093"/>
    <w:rsid w:val="00B42125"/>
    <w:rsid w:val="00B70C9F"/>
    <w:rsid w:val="00B71A4B"/>
    <w:rsid w:val="00BA1E08"/>
    <w:rsid w:val="00C15EC0"/>
    <w:rsid w:val="00C34419"/>
    <w:rsid w:val="00D0152C"/>
    <w:rsid w:val="00D1758D"/>
    <w:rsid w:val="00D261A5"/>
    <w:rsid w:val="00D708EE"/>
    <w:rsid w:val="00DD4C00"/>
    <w:rsid w:val="00DD6E42"/>
    <w:rsid w:val="00E12401"/>
    <w:rsid w:val="00E37046"/>
    <w:rsid w:val="00E84793"/>
    <w:rsid w:val="00EB3265"/>
    <w:rsid w:val="00EE3B73"/>
    <w:rsid w:val="00EE694E"/>
    <w:rsid w:val="00EF5316"/>
    <w:rsid w:val="00F25701"/>
    <w:rsid w:val="00F459E3"/>
    <w:rsid w:val="00F51F2D"/>
    <w:rsid w:val="00F97492"/>
    <w:rsid w:val="00FA3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95B51C"/>
  <w15:chartTrackingRefBased/>
  <w15:docId w15:val="{EFC1B2E6-3EC1-494F-BB0F-7ED61D5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CorpsdetexteCar">
    <w:name w:val="Corps de texte Car"/>
    <w:rPr>
      <w:rFonts w:eastAsia="Times New Roman"/>
      <w:sz w:val="24"/>
    </w:rPr>
  </w:style>
  <w:style w:type="paragraph" w:customStyle="1" w:styleId="Titre1">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autoSpaceDE w:val="0"/>
      <w:spacing w:line="240" w:lineRule="auto"/>
      <w:jc w:val="center"/>
    </w:pPr>
    <w:rPr>
      <w:rFonts w:ascii="Times" w:hAnsi="Times" w:cs="Times"/>
    </w:r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paragraph" w:customStyle="1" w:styleId="Remarque">
    <w:name w:val="Remarqu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pPr>
      <w:widowControl w:val="0"/>
      <w:pBdr>
        <w:top w:val="single" w:sz="4" w:space="1" w:color="000000"/>
        <w:left w:val="single" w:sz="4" w:space="4" w:color="000000"/>
        <w:bottom w:val="single" w:sz="4" w:space="1" w:color="000000"/>
        <w:right w:val="single" w:sz="4" w:space="4" w:color="000000"/>
      </w:pBdr>
      <w:autoSpaceDE w:val="0"/>
      <w:spacing w:line="240" w:lineRule="auto"/>
      <w:ind w:left="1701" w:right="1689"/>
    </w:pPr>
    <w:rPr>
      <w:sz w:val="20"/>
    </w:rPr>
  </w:style>
  <w:style w:type="paragraph" w:customStyle="1" w:styleId="Grillecouleur-Accent11">
    <w:name w:val="Grille couleur - Accent 11"/>
    <w:basedOn w:val="Normal"/>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pPr>
      <w:spacing w:line="300" w:lineRule="atLeast"/>
      <w:ind w:left="709"/>
    </w:pPr>
    <w:rPr>
      <w:rFonts w:ascii="Times" w:hAnsi="Times" w:cs="Times"/>
      <w:b/>
      <w:sz w:val="22"/>
    </w:rPr>
  </w:style>
  <w:style w:type="paragraph" w:customStyle="1" w:styleId="REMARQUES">
    <w:name w:val="REMARQUES"/>
    <w:basedOn w:val="Normal"/>
    <w:pPr>
      <w:spacing w:line="240" w:lineRule="auto"/>
      <w:ind w:left="1134"/>
    </w:pPr>
    <w:rPr>
      <w:rFonts w:ascii="Arial Narrow" w:hAnsi="Arial Narrow" w:cs="Arial Narrow"/>
      <w:b/>
      <w:sz w:val="20"/>
    </w:rPr>
  </w:style>
  <w:style w:type="paragraph" w:styleId="Retraitcorpsdetexte">
    <w:name w:val="Body Text Indent"/>
    <w:basedOn w:val="Normal"/>
    <w:pPr>
      <w:widowControl w:val="0"/>
      <w:autoSpaceDE w:val="0"/>
      <w:jc w:val="center"/>
    </w:pPr>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1203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912032"/>
    <w:rPr>
      <w:rFonts w:ascii="Segoe UI" w:hAnsi="Segoe UI" w:cs="Segoe UI"/>
      <w:sz w:val="18"/>
      <w:szCs w:val="18"/>
      <w:lang w:eastAsia="ar-SA"/>
    </w:rPr>
  </w:style>
  <w:style w:type="paragraph" w:styleId="En-tte">
    <w:name w:val="header"/>
    <w:basedOn w:val="Normal"/>
    <w:link w:val="En-tteCar"/>
    <w:uiPriority w:val="99"/>
    <w:unhideWhenUsed/>
    <w:rsid w:val="002103DF"/>
    <w:pPr>
      <w:tabs>
        <w:tab w:val="center" w:pos="4536"/>
        <w:tab w:val="right" w:pos="9072"/>
      </w:tabs>
    </w:pPr>
  </w:style>
  <w:style w:type="character" w:customStyle="1" w:styleId="En-tteCar">
    <w:name w:val="En-tête Car"/>
    <w:link w:val="En-tte"/>
    <w:uiPriority w:val="99"/>
    <w:rsid w:val="002103DF"/>
    <w:rPr>
      <w:sz w:val="24"/>
      <w:lang w:eastAsia="ar-SA"/>
    </w:rPr>
  </w:style>
  <w:style w:type="paragraph" w:styleId="Pieddepage">
    <w:name w:val="footer"/>
    <w:basedOn w:val="Normal"/>
    <w:link w:val="PieddepageCar"/>
    <w:uiPriority w:val="99"/>
    <w:unhideWhenUsed/>
    <w:rsid w:val="002103DF"/>
    <w:pPr>
      <w:tabs>
        <w:tab w:val="center" w:pos="4536"/>
        <w:tab w:val="right" w:pos="9072"/>
      </w:tabs>
    </w:pPr>
  </w:style>
  <w:style w:type="character" w:customStyle="1" w:styleId="PieddepageCar">
    <w:name w:val="Pied de page Car"/>
    <w:link w:val="Pieddepage"/>
    <w:uiPriority w:val="99"/>
    <w:rsid w:val="002103DF"/>
    <w:rPr>
      <w:sz w:val="24"/>
      <w:lang w:eastAsia="ar-SA"/>
    </w:rPr>
  </w:style>
  <w:style w:type="character" w:customStyle="1" w:styleId="gd">
    <w:name w:val="gd"/>
    <w:basedOn w:val="Policepardfaut"/>
    <w:rsid w:val="008C51AF"/>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09B8"/>
    <w:pPr>
      <w:suppressAutoHyphens w:val="0"/>
      <w:spacing w:line="240" w:lineRule="auto"/>
      <w:ind w:left="720"/>
      <w:contextualSpacing/>
      <w:jc w:val="left"/>
    </w:pPr>
    <w:rPr>
      <w:rFonts w:eastAsia="Arial Unicode MS" w:cs="Arial Unicode MS"/>
      <w:color w:val="000000"/>
      <w:sz w:val="2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E291-0E43-46F3-81E7-86EDA7F7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Stage CGT FO – FPC</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cp:keywords/>
  <dc:description/>
  <cp:lastModifiedBy>Tania Tayée- Mounoussamy</cp:lastModifiedBy>
  <cp:revision>3</cp:revision>
  <cp:lastPrinted>2020-09-04T11:55:00Z</cp:lastPrinted>
  <dcterms:created xsi:type="dcterms:W3CDTF">2024-05-07T07:37:00Z</dcterms:created>
  <dcterms:modified xsi:type="dcterms:W3CDTF">2024-05-07T07:40:00Z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2024-05-07T07:37:32Z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c500ea80-258d-420d-ab99-771d36f7e95c</vt:lpwstr>
  </property>
  <property fmtid="{D5CDD505-2E9C-101B-9397-08002B2CF9AE}" pid="8" name="MSIP_Label_d5c20be7-c3a5-46e3-9158-fa8a02ce2395_ContentBits">
    <vt:lpwstr>0</vt:lpwstr>
  </property>
</Properties>
</file>