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F9FD" w14:textId="79A6AAFC" w:rsidR="00FB140A" w:rsidRDefault="003B0450" w:rsidP="003B045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D6892DB" wp14:editId="4FD6AC8E">
            <wp:extent cx="3182400" cy="1206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is1_IS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4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43DE" w14:textId="77777777" w:rsidR="003B0450" w:rsidRDefault="003B0450" w:rsidP="003B0450">
      <w:pPr>
        <w:spacing w:line="240" w:lineRule="auto"/>
        <w:jc w:val="center"/>
        <w:rPr>
          <w:b/>
        </w:rPr>
      </w:pPr>
    </w:p>
    <w:p w14:paraId="38B56602" w14:textId="0CA00A72" w:rsidR="003B0450" w:rsidRDefault="00AE1A96" w:rsidP="003B0450">
      <w:pPr>
        <w:spacing w:line="240" w:lineRule="auto"/>
        <w:jc w:val="center"/>
        <w:rPr>
          <w:b/>
        </w:rPr>
      </w:pPr>
      <w:r>
        <w:rPr>
          <w:b/>
        </w:rPr>
        <w:t xml:space="preserve">STAGE </w:t>
      </w:r>
      <w:r w:rsidR="00314DA1">
        <w:rPr>
          <w:b/>
        </w:rPr>
        <w:t>CFDT</w:t>
      </w:r>
      <w:r w:rsidR="00C87368">
        <w:rPr>
          <w:b/>
        </w:rPr>
        <w:t xml:space="preserve"> </w:t>
      </w:r>
      <w:r w:rsidR="001029E7">
        <w:rPr>
          <w:b/>
        </w:rPr>
        <w:t xml:space="preserve">DROIT EUROPEEN </w:t>
      </w:r>
      <w:r w:rsidR="008F07A4">
        <w:rPr>
          <w:b/>
        </w:rPr>
        <w:t xml:space="preserve">ET DROIT </w:t>
      </w:r>
      <w:r w:rsidR="001029E7">
        <w:rPr>
          <w:b/>
        </w:rPr>
        <w:t>INTERNE</w:t>
      </w:r>
    </w:p>
    <w:p w14:paraId="446D9473" w14:textId="01261D64" w:rsidR="00B97BF7" w:rsidRDefault="00B97BF7" w:rsidP="003B0450">
      <w:pPr>
        <w:spacing w:line="240" w:lineRule="auto"/>
        <w:jc w:val="center"/>
        <w:rPr>
          <w:b/>
        </w:rPr>
      </w:pPr>
    </w:p>
    <w:p w14:paraId="72925C40" w14:textId="4021EBA3" w:rsidR="00FB140A" w:rsidRPr="00FB140A" w:rsidRDefault="00DE4BC3" w:rsidP="00FB140A">
      <w:pPr>
        <w:spacing w:line="240" w:lineRule="auto"/>
        <w:jc w:val="center"/>
        <w:rPr>
          <w:b/>
        </w:rPr>
      </w:pPr>
      <w:r>
        <w:rPr>
          <w:b/>
        </w:rPr>
        <w:t>Laetitia Driguez</w:t>
      </w:r>
      <w:r w:rsidR="00D9170D">
        <w:rPr>
          <w:b/>
        </w:rPr>
        <w:t xml:space="preserve"> (Univ. Paris 1 - ISST),</w:t>
      </w:r>
      <w:r w:rsidR="00314DA1">
        <w:rPr>
          <w:b/>
        </w:rPr>
        <w:t xml:space="preserve"> Maud </w:t>
      </w:r>
      <w:r w:rsidR="00B97BF7">
        <w:rPr>
          <w:b/>
        </w:rPr>
        <w:t>Renaud (</w:t>
      </w:r>
      <w:r w:rsidR="00FB140A" w:rsidRPr="00FB140A">
        <w:rPr>
          <w:b/>
        </w:rPr>
        <w:t>C</w:t>
      </w:r>
      <w:r w:rsidR="000D691A">
        <w:rPr>
          <w:b/>
        </w:rPr>
        <w:t>FDT-IREFE</w:t>
      </w:r>
      <w:r w:rsidR="00D9170D">
        <w:rPr>
          <w:b/>
        </w:rPr>
        <w:t>)</w:t>
      </w:r>
    </w:p>
    <w:p w14:paraId="73EA009A" w14:textId="535FDA2D" w:rsidR="00FB140A" w:rsidRDefault="00817967" w:rsidP="00FB140A">
      <w:pPr>
        <w:pStyle w:val="Titre2"/>
        <w:spacing w:line="240" w:lineRule="auto"/>
      </w:pPr>
      <w:r>
        <w:t xml:space="preserve">Date </w:t>
      </w:r>
      <w:r w:rsidR="001029E7">
        <w:t xml:space="preserve">4 et 5 décembre </w:t>
      </w:r>
      <w:r w:rsidR="0076403B">
        <w:t>2023</w:t>
      </w:r>
    </w:p>
    <w:p w14:paraId="35814AD7" w14:textId="77777777" w:rsidR="00314DA1" w:rsidRPr="00314DA1" w:rsidRDefault="00314DA1" w:rsidP="00314DA1"/>
    <w:tbl>
      <w:tblPr>
        <w:tblW w:w="60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2489"/>
        <w:gridCol w:w="2489"/>
      </w:tblGrid>
      <w:tr w:rsidR="00314DA1" w:rsidRPr="003B0450" w14:paraId="7735640A" w14:textId="12DC964D" w:rsidTr="00314DA1">
        <w:trPr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90F0E" w14:textId="77777777" w:rsidR="00314DA1" w:rsidRPr="003B0450" w:rsidRDefault="00314DA1" w:rsidP="00E44A0E">
            <w:pPr>
              <w:spacing w:line="240" w:lineRule="auto"/>
              <w:ind w:left="103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034F00" w14:textId="66DBB63A" w:rsidR="00314DA1" w:rsidRPr="003B0450" w:rsidRDefault="001029E7" w:rsidP="0081796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 4 décembre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7ECC3C" w14:textId="7172186E" w:rsidR="00314DA1" w:rsidRDefault="001029E7" w:rsidP="00D11A8F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Mardi 5 décembre</w:t>
            </w:r>
          </w:p>
        </w:tc>
      </w:tr>
      <w:tr w:rsidR="00314DA1" w:rsidRPr="003B0450" w14:paraId="69FB3DB8" w14:textId="226DDF7B" w:rsidTr="00314DA1">
        <w:trPr>
          <w:trHeight w:val="1968"/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4BDD20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9h</w:t>
            </w:r>
          </w:p>
          <w:p w14:paraId="376EFA74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78B0836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BC6D1D0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56BFC5E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ABD79E3" w14:textId="77777777" w:rsidR="00314DA1" w:rsidRPr="003B0450" w:rsidRDefault="00314DA1" w:rsidP="00E44A0E">
            <w:pPr>
              <w:spacing w:line="240" w:lineRule="auto"/>
              <w:rPr>
                <w:sz w:val="22"/>
                <w:szCs w:val="22"/>
              </w:rPr>
            </w:pPr>
          </w:p>
          <w:p w14:paraId="31F9EE34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251283" w14:textId="3D434B47" w:rsidR="001029E7" w:rsidRDefault="001029E7" w:rsidP="00320039">
            <w:pPr>
              <w:pStyle w:val="Corpsdetext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Tout de table</w:t>
            </w:r>
          </w:p>
          <w:p w14:paraId="28F54C9E" w14:textId="0B1BC26D" w:rsidR="001029E7" w:rsidRDefault="001029E7" w:rsidP="00320039">
            <w:pPr>
              <w:pStyle w:val="Corpsdetext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Présentation</w:t>
            </w:r>
          </w:p>
          <w:p w14:paraId="4BA51238" w14:textId="77777777" w:rsidR="001029E7" w:rsidRDefault="001029E7" w:rsidP="00320039">
            <w:pPr>
              <w:pStyle w:val="Corpsdetexte"/>
              <w:rPr>
                <w:iCs/>
                <w:sz w:val="22"/>
                <w:szCs w:val="22"/>
              </w:rPr>
            </w:pPr>
          </w:p>
          <w:p w14:paraId="6FC4762B" w14:textId="028EC9BC" w:rsidR="00314DA1" w:rsidRDefault="001029E7" w:rsidP="00320039">
            <w:pPr>
              <w:pStyle w:val="Corpsdetext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Effet direct et invocabilité des normes européennes</w:t>
            </w:r>
          </w:p>
          <w:p w14:paraId="3ADDE393" w14:textId="77777777" w:rsidR="00DE4BC3" w:rsidRDefault="00DE4BC3" w:rsidP="00320039">
            <w:pPr>
              <w:pStyle w:val="Corpsdetexte"/>
              <w:rPr>
                <w:iCs/>
                <w:sz w:val="22"/>
                <w:szCs w:val="22"/>
              </w:rPr>
            </w:pPr>
          </w:p>
          <w:p w14:paraId="2A352C68" w14:textId="77777777" w:rsidR="00DE4BC3" w:rsidRDefault="00DE4BC3" w:rsidP="00320039">
            <w:pPr>
              <w:pStyle w:val="Corpsdetext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Isabelle </w:t>
            </w:r>
            <w:proofErr w:type="spellStart"/>
            <w:r>
              <w:rPr>
                <w:iCs/>
                <w:sz w:val="22"/>
                <w:szCs w:val="22"/>
              </w:rPr>
              <w:t>Pingel</w:t>
            </w:r>
            <w:proofErr w:type="spellEnd"/>
          </w:p>
          <w:p w14:paraId="2DE83F2C" w14:textId="4D72EAC5" w:rsidR="00DE4BC3" w:rsidRPr="0009297B" w:rsidRDefault="00DE4BC3" w:rsidP="00320039">
            <w:pPr>
              <w:pStyle w:val="Corpsdetext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Université Paris 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86E71B" w14:textId="77777777" w:rsidR="00314DA1" w:rsidRDefault="00314DA1" w:rsidP="00314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E31ADAC" w14:textId="1B07FAB7" w:rsidR="00CE27FC" w:rsidRPr="00CE27FC" w:rsidRDefault="0076403B" w:rsidP="0076403B">
            <w:pPr>
              <w:pStyle w:val="Corpsdetext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t>La</w:t>
            </w:r>
            <w:r w:rsidR="001029E7">
              <w:t xml:space="preserve"> mobilisation des normes européennes dans le contentieux social</w:t>
            </w:r>
          </w:p>
          <w:p w14:paraId="12E066BF" w14:textId="77777777" w:rsidR="00CE27FC" w:rsidRDefault="00CE27FC" w:rsidP="00375FC1">
            <w:pPr>
              <w:pStyle w:val="Corpsdetext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8BADB56" w14:textId="7D03F908" w:rsidR="00CE27FC" w:rsidRPr="00DE4BC3" w:rsidRDefault="001029E7" w:rsidP="00375FC1">
            <w:pPr>
              <w:pStyle w:val="Corpsdetexte"/>
              <w:rPr>
                <w:iCs/>
                <w:sz w:val="22"/>
                <w:szCs w:val="22"/>
              </w:rPr>
            </w:pPr>
            <w:r w:rsidRPr="00DE4BC3">
              <w:rPr>
                <w:iCs/>
                <w:sz w:val="22"/>
                <w:szCs w:val="22"/>
              </w:rPr>
              <w:t>Laetitia Driguez</w:t>
            </w:r>
          </w:p>
          <w:p w14:paraId="1F460389" w14:textId="77777777" w:rsidR="0076403B" w:rsidRDefault="0076403B" w:rsidP="00375FC1">
            <w:pPr>
              <w:pStyle w:val="Corpsdetexte"/>
              <w:rPr>
                <w:iCs/>
                <w:sz w:val="22"/>
                <w:szCs w:val="22"/>
              </w:rPr>
            </w:pPr>
            <w:r w:rsidRPr="00DE4BC3">
              <w:rPr>
                <w:iCs/>
                <w:sz w:val="22"/>
                <w:szCs w:val="22"/>
              </w:rPr>
              <w:t>Université Paris 1</w:t>
            </w:r>
          </w:p>
          <w:p w14:paraId="6C2348AC" w14:textId="4D9D1BF2" w:rsidR="00DE4BC3" w:rsidRPr="003B0450" w:rsidRDefault="00DE4BC3" w:rsidP="00375FC1">
            <w:pPr>
              <w:pStyle w:val="Corpsdetexte"/>
              <w:rPr>
                <w:sz w:val="22"/>
                <w:szCs w:val="22"/>
              </w:rPr>
            </w:pPr>
          </w:p>
        </w:tc>
      </w:tr>
      <w:tr w:rsidR="00314DA1" w:rsidRPr="003B0450" w14:paraId="1A80C436" w14:textId="20A7EA45" w:rsidTr="00314DA1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7BABEF" w14:textId="437D4AA8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12 h 30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7FE5D6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D30F3D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14DA1" w:rsidRPr="003B0450" w14:paraId="77188A98" w14:textId="0FFC7D84" w:rsidTr="00314DA1">
        <w:trPr>
          <w:trHeight w:val="65"/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F413EC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14h</w:t>
            </w:r>
          </w:p>
          <w:p w14:paraId="26AD2971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C1B8C52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7E30F71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CD419DF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FF16636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AEB1C87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8B24B12" w14:textId="6CF26FA2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17 h </w:t>
            </w:r>
          </w:p>
          <w:p w14:paraId="4AF6DE42" w14:textId="77777777" w:rsidR="00314DA1" w:rsidRPr="003B0450" w:rsidRDefault="00314DA1" w:rsidP="00593E3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B9B4D" w14:textId="77777777" w:rsidR="00314DA1" w:rsidRPr="003B0450" w:rsidRDefault="00314DA1" w:rsidP="009863E7">
            <w:pPr>
              <w:pStyle w:val="Corpsdetexte"/>
              <w:autoSpaceDE/>
              <w:autoSpaceDN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6AB44E0" w14:textId="77777777" w:rsidR="00DE4BC3" w:rsidRDefault="00DE4BC3" w:rsidP="00DE4BC3">
            <w:pPr>
              <w:pStyle w:val="Corpsdetext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Effet direct et invocabilité des normes européennes</w:t>
            </w:r>
          </w:p>
          <w:p w14:paraId="014A5814" w14:textId="7059AE25" w:rsidR="00DE4BC3" w:rsidRDefault="00DE4BC3" w:rsidP="001029E7">
            <w:pPr>
              <w:pStyle w:val="Corpsdetexte"/>
              <w:rPr>
                <w:iCs/>
                <w:sz w:val="22"/>
                <w:szCs w:val="22"/>
              </w:rPr>
            </w:pPr>
          </w:p>
          <w:p w14:paraId="3B7AAACB" w14:textId="7E4518A3" w:rsidR="00DE4BC3" w:rsidRDefault="00DE4BC3" w:rsidP="001029E7">
            <w:pPr>
              <w:pStyle w:val="Corpsdetext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Isabelle Pingel</w:t>
            </w:r>
          </w:p>
          <w:p w14:paraId="3BCF2E69" w14:textId="77777777" w:rsidR="00DE4BC3" w:rsidRDefault="00DE4BC3" w:rsidP="001029E7">
            <w:pPr>
              <w:pStyle w:val="Corpsdetexte"/>
              <w:rPr>
                <w:iCs/>
                <w:sz w:val="22"/>
                <w:szCs w:val="22"/>
              </w:rPr>
            </w:pPr>
          </w:p>
          <w:p w14:paraId="7EBF0E26" w14:textId="5232D19C" w:rsidR="00A46EAF" w:rsidRDefault="00DE4BC3" w:rsidP="001029E7">
            <w:pPr>
              <w:pStyle w:val="Corpsdetext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</w:t>
            </w:r>
            <w:r w:rsidR="001029E7">
              <w:rPr>
                <w:iCs/>
                <w:sz w:val="22"/>
                <w:szCs w:val="22"/>
              </w:rPr>
              <w:t>Suite</w:t>
            </w:r>
            <w:r>
              <w:rPr>
                <w:iCs/>
                <w:sz w:val="22"/>
                <w:szCs w:val="22"/>
              </w:rPr>
              <w:t>)</w:t>
            </w:r>
          </w:p>
          <w:p w14:paraId="244A2BD9" w14:textId="4CA55BC9" w:rsidR="00DE4BC3" w:rsidRPr="00D837F9" w:rsidRDefault="00DE4BC3" w:rsidP="001029E7">
            <w:pPr>
              <w:pStyle w:val="Corpsdetext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20789" w14:textId="77777777" w:rsidR="00314DA1" w:rsidRDefault="00314DA1" w:rsidP="009863E7">
            <w:pPr>
              <w:pStyle w:val="Corpsdetexte"/>
              <w:autoSpaceDE/>
              <w:autoSpaceDN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9359DE2" w14:textId="6D01F418" w:rsidR="00320039" w:rsidRDefault="001029E7" w:rsidP="00320039">
            <w:pPr>
              <w:pStyle w:val="Corpsdetexte"/>
              <w:rPr>
                <w:lang w:eastAsia="en-US"/>
              </w:rPr>
            </w:pPr>
            <w:r>
              <w:rPr>
                <w:lang w:eastAsia="en-US"/>
              </w:rPr>
              <w:t>L’application de l’arrêt du 13 septembre 2023 sur les congés payés</w:t>
            </w:r>
          </w:p>
          <w:p w14:paraId="777D1D9F" w14:textId="77777777" w:rsidR="001029E7" w:rsidRDefault="001029E7" w:rsidP="00320039">
            <w:pPr>
              <w:pStyle w:val="Corpsdetexte"/>
              <w:rPr>
                <w:lang w:eastAsia="en-US"/>
              </w:rPr>
            </w:pPr>
          </w:p>
          <w:p w14:paraId="58F6C2D0" w14:textId="77777777" w:rsidR="00320039" w:rsidRDefault="00320039" w:rsidP="00320039">
            <w:pPr>
              <w:pStyle w:val="Corpsdetexte"/>
              <w:rPr>
                <w:lang w:eastAsia="en-US"/>
              </w:rPr>
            </w:pPr>
            <w:r>
              <w:rPr>
                <w:lang w:eastAsia="en-US"/>
              </w:rPr>
              <w:t>Christophe Vigneau</w:t>
            </w:r>
          </w:p>
          <w:p w14:paraId="6467E913" w14:textId="0D9C8BFE" w:rsidR="00314DA1" w:rsidRPr="003B0450" w:rsidRDefault="00320039" w:rsidP="00320039">
            <w:pPr>
              <w:pStyle w:val="Corpsdetexte"/>
              <w:autoSpaceDE/>
              <w:autoSpaceDN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lang w:eastAsia="en-US"/>
              </w:rPr>
              <w:t>Université Paris 1</w:t>
            </w:r>
          </w:p>
        </w:tc>
      </w:tr>
    </w:tbl>
    <w:p w14:paraId="55642B6D" w14:textId="77777777" w:rsidR="000D691A" w:rsidRDefault="000D691A" w:rsidP="000D691A"/>
    <w:p w14:paraId="7D686D6F" w14:textId="77777777" w:rsidR="00DE4BC3" w:rsidRDefault="00DE4BC3" w:rsidP="000D691A"/>
    <w:p w14:paraId="1309783E" w14:textId="0755B0B3" w:rsidR="003B0450" w:rsidRDefault="003B0450" w:rsidP="000D691A">
      <w:r>
        <w:t xml:space="preserve">La session de formation s’adresse aux </w:t>
      </w:r>
      <w:r w:rsidR="00314DA1">
        <w:t>membres du service juridique des fédérations et de la confédération CFDT.</w:t>
      </w:r>
      <w:r w:rsidR="000D691A">
        <w:t xml:space="preserve"> </w:t>
      </w:r>
    </w:p>
    <w:p w14:paraId="7326D6F5" w14:textId="77777777" w:rsidR="00B97BF7" w:rsidRDefault="00B97BF7" w:rsidP="000D691A"/>
    <w:p w14:paraId="53772C68" w14:textId="34B46364" w:rsidR="00314DA1" w:rsidRDefault="000D691A" w:rsidP="000D691A">
      <w:r>
        <w:t xml:space="preserve">La </w:t>
      </w:r>
      <w:r w:rsidR="00314DA1">
        <w:t>session de formation</w:t>
      </w:r>
      <w:r w:rsidR="00767484">
        <w:t xml:space="preserve"> a </w:t>
      </w:r>
      <w:r w:rsidR="0006389D">
        <w:t xml:space="preserve">notamment </w:t>
      </w:r>
      <w:r w:rsidR="00767484">
        <w:t xml:space="preserve">pour objet </w:t>
      </w:r>
      <w:r w:rsidR="001029E7">
        <w:t>de faire le point sur la question de l’applicabilité des normes européennes dans le droit interne à la faveur de l’actualité jurisprudentielle récente et tout particulièrement</w:t>
      </w:r>
      <w:r w:rsidR="00DE4BC3">
        <w:t xml:space="preserve"> de</w:t>
      </w:r>
      <w:r w:rsidR="001029E7">
        <w:t xml:space="preserve"> l’arrêt de la chambre sociale de la Cour de cassation du 13 septembre 2023 relatif au décompte des congés payés en arrêt maladie. </w:t>
      </w:r>
    </w:p>
    <w:sectPr w:rsidR="00314DA1" w:rsidSect="00CD0C06">
      <w:footerReference w:type="even" r:id="rId8"/>
      <w:footerReference w:type="default" r:id="rId9"/>
      <w:pgSz w:w="11899" w:h="16838"/>
      <w:pgMar w:top="1134" w:right="1134" w:bottom="1134" w:left="851" w:header="709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EF47" w14:textId="77777777" w:rsidR="001A4D75" w:rsidRDefault="001A4D75" w:rsidP="00DF46F9">
      <w:pPr>
        <w:spacing w:line="240" w:lineRule="auto"/>
      </w:pPr>
      <w:r>
        <w:separator/>
      </w:r>
    </w:p>
  </w:endnote>
  <w:endnote w:type="continuationSeparator" w:id="0">
    <w:p w14:paraId="45215205" w14:textId="77777777" w:rsidR="001A4D75" w:rsidRDefault="001A4D75" w:rsidP="00DF4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F98" w14:textId="77777777" w:rsidR="00DF46F9" w:rsidRDefault="00D3096D" w:rsidP="009934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F46F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FBDC301" w14:textId="77777777" w:rsidR="00DF46F9" w:rsidRDefault="00DF46F9" w:rsidP="00DF46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F095" w14:textId="77777777" w:rsidR="00DF46F9" w:rsidRDefault="00D3096D" w:rsidP="009934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F46F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2514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1E33ECD" w14:textId="77777777" w:rsidR="00DF46F9" w:rsidRDefault="00DF46F9" w:rsidP="00DF46F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63C2" w14:textId="77777777" w:rsidR="001A4D75" w:rsidRDefault="001A4D75" w:rsidP="00DF46F9">
      <w:pPr>
        <w:spacing w:line="240" w:lineRule="auto"/>
      </w:pPr>
      <w:r>
        <w:separator/>
      </w:r>
    </w:p>
  </w:footnote>
  <w:footnote w:type="continuationSeparator" w:id="0">
    <w:p w14:paraId="1A6B43A3" w14:textId="77777777" w:rsidR="001A4D75" w:rsidRDefault="001A4D75" w:rsidP="00DF46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E9D"/>
    <w:multiLevelType w:val="hybridMultilevel"/>
    <w:tmpl w:val="3FD4FD9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3440"/>
    <w:multiLevelType w:val="hybridMultilevel"/>
    <w:tmpl w:val="7E0C12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0934"/>
    <w:multiLevelType w:val="hybridMultilevel"/>
    <w:tmpl w:val="2A86B6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33B8B"/>
    <w:multiLevelType w:val="hybridMultilevel"/>
    <w:tmpl w:val="5428FDC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B1010"/>
    <w:multiLevelType w:val="hybridMultilevel"/>
    <w:tmpl w:val="EB78FE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302DC"/>
    <w:multiLevelType w:val="hybridMultilevel"/>
    <w:tmpl w:val="1218913C"/>
    <w:lvl w:ilvl="0" w:tplc="9CD28B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80319">
    <w:abstractNumId w:val="3"/>
  </w:num>
  <w:num w:numId="2" w16cid:durableId="1504929876">
    <w:abstractNumId w:val="4"/>
  </w:num>
  <w:num w:numId="3" w16cid:durableId="1374503543">
    <w:abstractNumId w:val="1"/>
  </w:num>
  <w:num w:numId="4" w16cid:durableId="1143892915">
    <w:abstractNumId w:val="0"/>
  </w:num>
  <w:num w:numId="5" w16cid:durableId="2091266852">
    <w:abstractNumId w:val="2"/>
  </w:num>
  <w:num w:numId="6" w16cid:durableId="2052612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0F7C4D0-8AC1-4459-86BD-9B4701ACE049}"/>
    <w:docVar w:name="dgnword-eventsink" w:val="2769207658896"/>
  </w:docVars>
  <w:rsids>
    <w:rsidRoot w:val="00284918"/>
    <w:rsid w:val="000164C2"/>
    <w:rsid w:val="0004799C"/>
    <w:rsid w:val="0006389D"/>
    <w:rsid w:val="00071A34"/>
    <w:rsid w:val="00074647"/>
    <w:rsid w:val="00077D8E"/>
    <w:rsid w:val="000807C2"/>
    <w:rsid w:val="00085142"/>
    <w:rsid w:val="0009297B"/>
    <w:rsid w:val="000B547B"/>
    <w:rsid w:val="000B5C1B"/>
    <w:rsid w:val="000D691A"/>
    <w:rsid w:val="000E2A95"/>
    <w:rsid w:val="001029E7"/>
    <w:rsid w:val="001053EA"/>
    <w:rsid w:val="00107209"/>
    <w:rsid w:val="001136CA"/>
    <w:rsid w:val="00115377"/>
    <w:rsid w:val="00152BBF"/>
    <w:rsid w:val="00176E91"/>
    <w:rsid w:val="00181231"/>
    <w:rsid w:val="001904F1"/>
    <w:rsid w:val="001A4D75"/>
    <w:rsid w:val="001B40CF"/>
    <w:rsid w:val="001C0F8F"/>
    <w:rsid w:val="001E0893"/>
    <w:rsid w:val="001E48F6"/>
    <w:rsid w:val="001E7913"/>
    <w:rsid w:val="001F1DCF"/>
    <w:rsid w:val="001F25E3"/>
    <w:rsid w:val="001F727F"/>
    <w:rsid w:val="002137E5"/>
    <w:rsid w:val="00221EEE"/>
    <w:rsid w:val="002418C9"/>
    <w:rsid w:val="00284918"/>
    <w:rsid w:val="00295E77"/>
    <w:rsid w:val="002B385B"/>
    <w:rsid w:val="002C6362"/>
    <w:rsid w:val="002F7FE3"/>
    <w:rsid w:val="00312ED7"/>
    <w:rsid w:val="00314DA1"/>
    <w:rsid w:val="00320039"/>
    <w:rsid w:val="0033529F"/>
    <w:rsid w:val="00340BB3"/>
    <w:rsid w:val="0035757A"/>
    <w:rsid w:val="00375FC1"/>
    <w:rsid w:val="003902E6"/>
    <w:rsid w:val="003947CC"/>
    <w:rsid w:val="003A28B2"/>
    <w:rsid w:val="003B0450"/>
    <w:rsid w:val="003C1AB7"/>
    <w:rsid w:val="003C24E9"/>
    <w:rsid w:val="003C5808"/>
    <w:rsid w:val="003C7273"/>
    <w:rsid w:val="003E08F9"/>
    <w:rsid w:val="003E0ABE"/>
    <w:rsid w:val="003E7D24"/>
    <w:rsid w:val="003F2CDD"/>
    <w:rsid w:val="003F4CD1"/>
    <w:rsid w:val="003F5AD1"/>
    <w:rsid w:val="00401744"/>
    <w:rsid w:val="00476DAE"/>
    <w:rsid w:val="0048682A"/>
    <w:rsid w:val="0049287F"/>
    <w:rsid w:val="004A1BBC"/>
    <w:rsid w:val="004A4965"/>
    <w:rsid w:val="004B7CCF"/>
    <w:rsid w:val="0052700D"/>
    <w:rsid w:val="00532305"/>
    <w:rsid w:val="00542B04"/>
    <w:rsid w:val="00580D88"/>
    <w:rsid w:val="00584EB0"/>
    <w:rsid w:val="00593E3C"/>
    <w:rsid w:val="005C1B41"/>
    <w:rsid w:val="005F25CC"/>
    <w:rsid w:val="005F712B"/>
    <w:rsid w:val="00600034"/>
    <w:rsid w:val="0060170C"/>
    <w:rsid w:val="00632D54"/>
    <w:rsid w:val="006458E0"/>
    <w:rsid w:val="00655B2F"/>
    <w:rsid w:val="00662684"/>
    <w:rsid w:val="00665DD8"/>
    <w:rsid w:val="006724DC"/>
    <w:rsid w:val="006767A8"/>
    <w:rsid w:val="006808F1"/>
    <w:rsid w:val="006870C2"/>
    <w:rsid w:val="006878BE"/>
    <w:rsid w:val="006922D1"/>
    <w:rsid w:val="006A47D3"/>
    <w:rsid w:val="006B6C71"/>
    <w:rsid w:val="006C154C"/>
    <w:rsid w:val="006C6674"/>
    <w:rsid w:val="006E7AF3"/>
    <w:rsid w:val="006F200D"/>
    <w:rsid w:val="006F314C"/>
    <w:rsid w:val="006F3861"/>
    <w:rsid w:val="00703F8F"/>
    <w:rsid w:val="007052BA"/>
    <w:rsid w:val="00715DC7"/>
    <w:rsid w:val="00725148"/>
    <w:rsid w:val="00743FC0"/>
    <w:rsid w:val="0076403B"/>
    <w:rsid w:val="00767484"/>
    <w:rsid w:val="00793C65"/>
    <w:rsid w:val="007A32A4"/>
    <w:rsid w:val="007A788E"/>
    <w:rsid w:val="007C301B"/>
    <w:rsid w:val="00817967"/>
    <w:rsid w:val="00836FD9"/>
    <w:rsid w:val="00844102"/>
    <w:rsid w:val="0088427E"/>
    <w:rsid w:val="008C27B5"/>
    <w:rsid w:val="008E1D83"/>
    <w:rsid w:val="008E675A"/>
    <w:rsid w:val="008F07A4"/>
    <w:rsid w:val="008F144C"/>
    <w:rsid w:val="00903370"/>
    <w:rsid w:val="0092255F"/>
    <w:rsid w:val="0097114A"/>
    <w:rsid w:val="009716DE"/>
    <w:rsid w:val="00975FCE"/>
    <w:rsid w:val="009854A8"/>
    <w:rsid w:val="009857C1"/>
    <w:rsid w:val="009863E7"/>
    <w:rsid w:val="00997E48"/>
    <w:rsid w:val="009D171F"/>
    <w:rsid w:val="009D31E4"/>
    <w:rsid w:val="009D508F"/>
    <w:rsid w:val="009D5CA5"/>
    <w:rsid w:val="009E38D3"/>
    <w:rsid w:val="009E3C67"/>
    <w:rsid w:val="00A04CE4"/>
    <w:rsid w:val="00A11FBB"/>
    <w:rsid w:val="00A46249"/>
    <w:rsid w:val="00A465C3"/>
    <w:rsid w:val="00A46EAF"/>
    <w:rsid w:val="00A53544"/>
    <w:rsid w:val="00A5747D"/>
    <w:rsid w:val="00A60219"/>
    <w:rsid w:val="00A65B6D"/>
    <w:rsid w:val="00A72502"/>
    <w:rsid w:val="00A73926"/>
    <w:rsid w:val="00A8380A"/>
    <w:rsid w:val="00AA0B07"/>
    <w:rsid w:val="00AD1189"/>
    <w:rsid w:val="00AD3D63"/>
    <w:rsid w:val="00AD6A6E"/>
    <w:rsid w:val="00AE1A96"/>
    <w:rsid w:val="00AF2089"/>
    <w:rsid w:val="00B13717"/>
    <w:rsid w:val="00B33C6C"/>
    <w:rsid w:val="00B43C65"/>
    <w:rsid w:val="00B50429"/>
    <w:rsid w:val="00B50F3B"/>
    <w:rsid w:val="00B912E3"/>
    <w:rsid w:val="00B97BF7"/>
    <w:rsid w:val="00BC328A"/>
    <w:rsid w:val="00C047C2"/>
    <w:rsid w:val="00C0660C"/>
    <w:rsid w:val="00C221DC"/>
    <w:rsid w:val="00C24CB9"/>
    <w:rsid w:val="00C4614D"/>
    <w:rsid w:val="00C62E0C"/>
    <w:rsid w:val="00C659E2"/>
    <w:rsid w:val="00C724F5"/>
    <w:rsid w:val="00C87368"/>
    <w:rsid w:val="00CD0C06"/>
    <w:rsid w:val="00CD4E90"/>
    <w:rsid w:val="00CE27FC"/>
    <w:rsid w:val="00D11A8F"/>
    <w:rsid w:val="00D177D0"/>
    <w:rsid w:val="00D3096D"/>
    <w:rsid w:val="00D3260B"/>
    <w:rsid w:val="00D400A4"/>
    <w:rsid w:val="00D45AC8"/>
    <w:rsid w:val="00D837F9"/>
    <w:rsid w:val="00D9170D"/>
    <w:rsid w:val="00DE0D53"/>
    <w:rsid w:val="00DE4BC3"/>
    <w:rsid w:val="00DF46F9"/>
    <w:rsid w:val="00E13068"/>
    <w:rsid w:val="00E30132"/>
    <w:rsid w:val="00E318B8"/>
    <w:rsid w:val="00E41353"/>
    <w:rsid w:val="00E4656A"/>
    <w:rsid w:val="00E53564"/>
    <w:rsid w:val="00E709C1"/>
    <w:rsid w:val="00E80539"/>
    <w:rsid w:val="00E96778"/>
    <w:rsid w:val="00EA7D7C"/>
    <w:rsid w:val="00ED74F0"/>
    <w:rsid w:val="00EE2EA1"/>
    <w:rsid w:val="00EE34B0"/>
    <w:rsid w:val="00EF63FA"/>
    <w:rsid w:val="00F2304C"/>
    <w:rsid w:val="00F368ED"/>
    <w:rsid w:val="00F43D5F"/>
    <w:rsid w:val="00F577A6"/>
    <w:rsid w:val="00F67D1D"/>
    <w:rsid w:val="00F72872"/>
    <w:rsid w:val="00FB140A"/>
    <w:rsid w:val="00FB30CA"/>
    <w:rsid w:val="00FC0E8A"/>
    <w:rsid w:val="00FC23C1"/>
    <w:rsid w:val="00FC5542"/>
    <w:rsid w:val="00FC7057"/>
    <w:rsid w:val="00FC7352"/>
    <w:rsid w:val="00FC7EE2"/>
    <w:rsid w:val="00FD00CD"/>
    <w:rsid w:val="00FE1668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4D4A9"/>
  <w15:docId w15:val="{5EFE9B3F-5066-43EA-8A6E-708570B7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B140A"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B140A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FB140A"/>
    <w:pPr>
      <w:autoSpaceDE w:val="0"/>
      <w:autoSpaceDN w:val="0"/>
      <w:spacing w:line="240" w:lineRule="auto"/>
      <w:jc w:val="center"/>
    </w:pPr>
    <w:rPr>
      <w:rFonts w:ascii="Times" w:hAnsi="Times"/>
    </w:rPr>
  </w:style>
  <w:style w:type="character" w:customStyle="1" w:styleId="CorpsdetexteCar">
    <w:name w:val="Corps de texte Car"/>
    <w:basedOn w:val="Policepardfaut"/>
    <w:link w:val="Corpsdetexte"/>
    <w:rsid w:val="00FB140A"/>
    <w:rPr>
      <w:rFonts w:ascii="Times" w:eastAsia="Times New Roman" w:hAnsi="Times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A788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F46F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6F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F46F9"/>
  </w:style>
  <w:style w:type="paragraph" w:styleId="Textedebulles">
    <w:name w:val="Balloon Text"/>
    <w:basedOn w:val="Normal"/>
    <w:link w:val="TextedebullesCar"/>
    <w:uiPriority w:val="99"/>
    <w:semiHidden/>
    <w:unhideWhenUsed/>
    <w:rsid w:val="00CE27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7F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Adeline Gubler</cp:lastModifiedBy>
  <cp:revision>2</cp:revision>
  <cp:lastPrinted>2018-01-30T09:30:00Z</cp:lastPrinted>
  <dcterms:created xsi:type="dcterms:W3CDTF">2023-11-13T14:52:00Z</dcterms:created>
  <dcterms:modified xsi:type="dcterms:W3CDTF">2023-11-13T14:52:00Z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2023-11-13T14:52:14Z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83a4ba63-cf2a-4412-87a3-63a01431ea2a</vt:lpwstr>
  </property>
  <property fmtid="{D5CDD505-2E9C-101B-9397-08002B2CF9AE}" pid="8" name="MSIP_Label_d5c20be7-c3a5-46e3-9158-fa8a02ce2395_ContentBits">
    <vt:lpwstr>0</vt:lpwstr>
  </property>
</Properties>
</file>