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977E4" w14:textId="4A08B6EC" w:rsidR="007959F6" w:rsidRDefault="007959F6">
      <w:pPr>
        <w:spacing w:line="240" w:lineRule="auto"/>
        <w:jc w:val="center"/>
      </w:pPr>
      <w:bookmarkStart w:id="0" w:name="_Hlk71708945"/>
      <w:r>
        <w:rPr>
          <w:b/>
        </w:rPr>
        <w:t xml:space="preserve">Stage </w:t>
      </w:r>
      <w:r w:rsidR="00FF205D">
        <w:rPr>
          <w:b/>
        </w:rPr>
        <w:t>CFE-CGC</w:t>
      </w:r>
      <w:r>
        <w:rPr>
          <w:b/>
        </w:rPr>
        <w:t xml:space="preserve">– </w:t>
      </w:r>
      <w:r w:rsidR="00482A53">
        <w:rPr>
          <w:b/>
        </w:rPr>
        <w:t>La preuve en droit du travail</w:t>
      </w:r>
      <w:r>
        <w:rPr>
          <w:b/>
        </w:rPr>
        <w:t xml:space="preserve"> </w:t>
      </w:r>
    </w:p>
    <w:p w14:paraId="63392777" w14:textId="165943CA" w:rsidR="007959F6" w:rsidRDefault="007959F6">
      <w:pPr>
        <w:pStyle w:val="Titre2"/>
        <w:spacing w:line="240" w:lineRule="auto"/>
      </w:pPr>
      <w:r>
        <w:t xml:space="preserve">Dates </w:t>
      </w:r>
      <w:r w:rsidR="00482A53">
        <w:t>2</w:t>
      </w:r>
      <w:r w:rsidR="00CC3F7E">
        <w:t>7</w:t>
      </w:r>
      <w:r w:rsidR="00ED2301">
        <w:t xml:space="preserve"> </w:t>
      </w:r>
      <w:r w:rsidR="002103DF">
        <w:t xml:space="preserve">au </w:t>
      </w:r>
      <w:r w:rsidR="00482A53">
        <w:t>2</w:t>
      </w:r>
      <w:r w:rsidR="00CC3F7E">
        <w:t>8</w:t>
      </w:r>
      <w:r w:rsidR="00482A53">
        <w:t xml:space="preserve"> mai</w:t>
      </w:r>
      <w:r w:rsidR="00640FC1">
        <w:t xml:space="preserve"> </w:t>
      </w:r>
      <w:r w:rsidR="001C6CFE">
        <w:t>20</w:t>
      </w:r>
      <w:r w:rsidR="00ED2301">
        <w:t>2</w:t>
      </w:r>
      <w:r w:rsidR="00482A53">
        <w:t>1</w:t>
      </w:r>
    </w:p>
    <w:p w14:paraId="22ABDE91" w14:textId="77777777" w:rsidR="007959F6" w:rsidRDefault="007959F6">
      <w:pPr>
        <w:jc w:val="center"/>
      </w:pPr>
      <w:r w:rsidRPr="00FF205D">
        <w:rPr>
          <w:szCs w:val="24"/>
          <w:lang w:val="en-US"/>
        </w:rPr>
        <w:t>Co-</w:t>
      </w:r>
      <w:proofErr w:type="gramStart"/>
      <w:r w:rsidRPr="00FF205D">
        <w:rPr>
          <w:szCs w:val="24"/>
          <w:lang w:val="en-US"/>
        </w:rPr>
        <w:t>animation :</w:t>
      </w:r>
      <w:proofErr w:type="gramEnd"/>
      <w:r w:rsidRPr="00FF205D">
        <w:rPr>
          <w:szCs w:val="24"/>
          <w:lang w:val="en-US"/>
        </w:rPr>
        <w:t xml:space="preserve"> </w:t>
      </w:r>
      <w:r w:rsidR="00C34419" w:rsidRPr="00FF205D">
        <w:rPr>
          <w:szCs w:val="24"/>
          <w:lang w:val="en-US"/>
        </w:rPr>
        <w:t>Joseph Morin</w:t>
      </w:r>
      <w:r w:rsidR="002103DF" w:rsidRPr="00FF205D">
        <w:rPr>
          <w:szCs w:val="24"/>
          <w:lang w:val="en-US"/>
        </w:rPr>
        <w:t xml:space="preserve"> </w:t>
      </w:r>
      <w:r w:rsidRPr="00FF205D">
        <w:rPr>
          <w:szCs w:val="24"/>
          <w:lang w:val="en-US"/>
        </w:rPr>
        <w:t>(Univ</w:t>
      </w:r>
      <w:r w:rsidRPr="00FF205D">
        <w:rPr>
          <w:lang w:val="en-US"/>
        </w:rPr>
        <w:t xml:space="preserve">. </w:t>
      </w:r>
      <w:r w:rsidR="001C6CFE" w:rsidRPr="00FF205D">
        <w:t>Paris 1 - ISST),</w:t>
      </w:r>
      <w:r w:rsidR="00FF205D" w:rsidRPr="00FF205D">
        <w:t xml:space="preserve"> Marc-Antoine </w:t>
      </w:r>
      <w:proofErr w:type="spellStart"/>
      <w:r w:rsidR="00FF205D" w:rsidRPr="00FF205D">
        <w:t>Marcantoni</w:t>
      </w:r>
      <w:proofErr w:type="spellEnd"/>
      <w:r w:rsidR="00FF205D">
        <w:t xml:space="preserve"> (CFE-CGC)</w:t>
      </w:r>
    </w:p>
    <w:p w14:paraId="36862E74" w14:textId="77777777" w:rsidR="00FF205D" w:rsidRPr="00FF205D" w:rsidRDefault="00FF205D">
      <w:pPr>
        <w:jc w:val="center"/>
      </w:pPr>
    </w:p>
    <w:tbl>
      <w:tblPr>
        <w:tblW w:w="0" w:type="auto"/>
        <w:tblInd w:w="4360" w:type="dxa"/>
        <w:tblLayout w:type="fixed"/>
        <w:tblCellMar>
          <w:left w:w="70" w:type="dxa"/>
          <w:right w:w="70" w:type="dxa"/>
        </w:tblCellMar>
        <w:tblLook w:val="0000" w:firstRow="0" w:lastRow="0" w:firstColumn="0" w:lastColumn="0" w:noHBand="0" w:noVBand="0"/>
      </w:tblPr>
      <w:tblGrid>
        <w:gridCol w:w="996"/>
        <w:gridCol w:w="2604"/>
        <w:gridCol w:w="2289"/>
      </w:tblGrid>
      <w:tr w:rsidR="00FF205D" w14:paraId="6CCDBE0D" w14:textId="77777777" w:rsidTr="00FF205D">
        <w:trPr>
          <w:trHeight w:val="280"/>
        </w:trPr>
        <w:tc>
          <w:tcPr>
            <w:tcW w:w="996" w:type="dxa"/>
            <w:tcBorders>
              <w:top w:val="single" w:sz="4" w:space="0" w:color="000000"/>
              <w:left w:val="single" w:sz="4" w:space="0" w:color="000000"/>
              <w:bottom w:val="single" w:sz="4" w:space="0" w:color="000000"/>
            </w:tcBorders>
            <w:shd w:val="clear" w:color="auto" w:fill="auto"/>
          </w:tcPr>
          <w:p w14:paraId="54B0E072" w14:textId="77777777" w:rsidR="00FF205D" w:rsidRPr="00FF205D" w:rsidRDefault="00FF205D">
            <w:pPr>
              <w:snapToGrid w:val="0"/>
              <w:spacing w:line="240" w:lineRule="auto"/>
              <w:ind w:left="103"/>
              <w:jc w:val="center"/>
            </w:pPr>
          </w:p>
        </w:tc>
        <w:tc>
          <w:tcPr>
            <w:tcW w:w="2604" w:type="dxa"/>
            <w:tcBorders>
              <w:top w:val="single" w:sz="4" w:space="0" w:color="000000"/>
              <w:left w:val="single" w:sz="4" w:space="0" w:color="000000"/>
              <w:bottom w:val="single" w:sz="4" w:space="0" w:color="000000"/>
            </w:tcBorders>
            <w:shd w:val="clear" w:color="auto" w:fill="auto"/>
          </w:tcPr>
          <w:p w14:paraId="209F5A1F" w14:textId="2427202A" w:rsidR="00FF205D" w:rsidRDefault="00CC3F7E" w:rsidP="007E3BFE">
            <w:pPr>
              <w:spacing w:line="240" w:lineRule="auto"/>
              <w:jc w:val="center"/>
            </w:pPr>
            <w:r>
              <w:t>Jeudi</w:t>
            </w:r>
            <w:r w:rsidR="00F07FEA">
              <w:t xml:space="preserve"> 2</w:t>
            </w:r>
            <w:r>
              <w:t>7</w:t>
            </w:r>
            <w:r w:rsidR="00ED2301">
              <w:t xml:space="preserve"> </w:t>
            </w:r>
            <w:r w:rsidR="00482A53">
              <w:t>mai</w:t>
            </w:r>
            <w:r w:rsidR="00FF205D">
              <w:t xml:space="preserve"> </w:t>
            </w:r>
          </w:p>
        </w:tc>
        <w:tc>
          <w:tcPr>
            <w:tcW w:w="2289" w:type="dxa"/>
            <w:tcBorders>
              <w:top w:val="single" w:sz="4" w:space="0" w:color="000000"/>
              <w:left w:val="single" w:sz="4" w:space="0" w:color="000000"/>
              <w:bottom w:val="single" w:sz="4" w:space="0" w:color="000000"/>
            </w:tcBorders>
            <w:shd w:val="clear" w:color="auto" w:fill="auto"/>
          </w:tcPr>
          <w:p w14:paraId="1C510F89" w14:textId="26FC47E0" w:rsidR="00FF205D" w:rsidRDefault="00FF205D" w:rsidP="00FF205D">
            <w:pPr>
              <w:spacing w:line="240" w:lineRule="auto"/>
              <w:jc w:val="center"/>
            </w:pPr>
            <w:r>
              <w:rPr>
                <w:noProof/>
                <w:lang w:eastAsia="fr-FR"/>
              </w:rPr>
              <mc:AlternateContent>
                <mc:Choice Requires="wps">
                  <w:drawing>
                    <wp:anchor distT="0" distB="0" distL="114300" distR="114300" simplePos="0" relativeHeight="251659264" behindDoc="0" locked="0" layoutInCell="1" allowOverlap="1" wp14:anchorId="042745B5" wp14:editId="71A9DED5">
                      <wp:simplePos x="0" y="0"/>
                      <wp:positionH relativeFrom="column">
                        <wp:posOffset>1399540</wp:posOffset>
                      </wp:positionH>
                      <wp:positionV relativeFrom="paragraph">
                        <wp:posOffset>12700</wp:posOffset>
                      </wp:positionV>
                      <wp:extent cx="0" cy="4127500"/>
                      <wp:effectExtent l="0" t="0" r="19050" b="25400"/>
                      <wp:wrapNone/>
                      <wp:docPr id="1" name="Connecteur droit 1"/>
                      <wp:cNvGraphicFramePr/>
                      <a:graphic xmlns:a="http://schemas.openxmlformats.org/drawingml/2006/main">
                        <a:graphicData uri="http://schemas.microsoft.com/office/word/2010/wordprocessingShape">
                          <wps:wsp>
                            <wps:cNvCnPr/>
                            <wps:spPr>
                              <a:xfrm>
                                <a:off x="0" y="0"/>
                                <a:ext cx="0" cy="4127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EBDFCA2"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pt,1pt" to="110.2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oeYywEAAAEEAAAOAAAAZHJzL2Uyb0RvYy54bWysU9uO2yAQfa/Uf0C8N3ai3mTF2Yesti9V&#10;G/XyASweEiRg0MDGyd93wImzaitVrfqCPTDnzJzDsL47eSeOQMli6OVy0UoBQeNgw76X3789vHov&#10;RcoqDMphgF6eIcm7zcsX6zF2sMIDugFIMElI3Rh7ecg5dk2T9AG8SguMEPjQIHmVOaR9M5Aamd27&#10;ZtW2b5sRaYiEGlLi3fvpUG4qvzGg82djEmThesm95bpSXR/L2mzWqtuTigerL22of+jCKxu46Ex1&#10;r7IST2R/ofJWEyY0eaHRN2iM1VA1sJpl+5OarwcVoWphc1KcbUr/j1Z/Ou5I2IHvToqgPF/RFkNg&#10;3+CJxEBos1gWl8aYOk7ehh1dohR3VCSfDPnyZTHiVJ09z87CKQs9bWrefb1cvXvTVtebGzBSyh8A&#10;vSg/vXQ2FNGqU8ePKXMxTr2mlG0XyprQ2eHBOleDMi6wdSSOii86n2rLjHuWxVFBNkXI1Hr9y2cH&#10;E+sXMGwEN7us1esI3jiV1hDyldcFzi4wwx3MwPbPwEt+gUIdz78Bz4haGUOewd4GpN9Vv1lhpvyr&#10;A5PuYsEjDud6qdUanrPq+OVNlEF+Hlf47eVufgAAAP//AwBQSwMEFAAGAAgAAAAhAHZ7cYTcAAAA&#10;CQEAAA8AAABkcnMvZG93bnJldi54bWxMT01Lw0AQvQv+h2UEL2I3RhskzaZIoBcPgo0Uj9vsNBua&#10;nQ3ZbZP+e0c82Nu8eY/3Uaxn14szjqHzpOBpkYBAarzpqFXwVW8eX0GEqMno3hMquGCAdXl7U+jc&#10;+Ik+8byNrWATCrlWYGMccilDY9HpsPADEnMHPzodGY6tNKOe2Nz1Mk2STDrdESdYPWBlsTluT07B&#10;d/vwvNnVVE9V/Dhkdr7s3peVUvd389sKRMQ5/ovhtz5Xh5I77f2JTBC9gjRNXljKB09i/g/vFWRL&#10;/siykNcLyh8AAAD//wMAUEsBAi0AFAAGAAgAAAAhALaDOJL+AAAA4QEAABMAAAAAAAAAAAAAAAAA&#10;AAAAAFtDb250ZW50X1R5cGVzXS54bWxQSwECLQAUAAYACAAAACEAOP0h/9YAAACUAQAACwAAAAAA&#10;AAAAAAAAAAAvAQAAX3JlbHMvLnJlbHNQSwECLQAUAAYACAAAACEAleKHmMsBAAABBAAADgAAAAAA&#10;AAAAAAAAAAAuAgAAZHJzL2Uyb0RvYy54bWxQSwECLQAUAAYACAAAACEAdntxhNwAAAAJAQAADwAA&#10;AAAAAAAAAAAAAAAlBAAAZHJzL2Rvd25yZXYueG1sUEsFBgAAAAAEAAQA8wAAAC4FAAAAAA==&#10;" strokecolor="black [3213]" strokeweight=".5pt">
                      <v:stroke joinstyle="miter"/>
                    </v:line>
                  </w:pict>
                </mc:Fallback>
              </mc:AlternateContent>
            </w:r>
            <w:r w:rsidR="00CC3F7E">
              <w:rPr>
                <w:noProof/>
                <w:lang w:eastAsia="fr-FR"/>
              </w:rPr>
              <w:t>Vendredi</w:t>
            </w:r>
            <w:r w:rsidR="00482A53">
              <w:rPr>
                <w:noProof/>
                <w:lang w:eastAsia="fr-FR"/>
              </w:rPr>
              <w:t xml:space="preserve"> 2</w:t>
            </w:r>
            <w:r w:rsidR="00CC3F7E">
              <w:rPr>
                <w:noProof/>
                <w:lang w:eastAsia="fr-FR"/>
              </w:rPr>
              <w:t>8</w:t>
            </w:r>
            <w:r w:rsidR="00482A53">
              <w:rPr>
                <w:noProof/>
                <w:lang w:eastAsia="fr-FR"/>
              </w:rPr>
              <w:t xml:space="preserve"> mai</w:t>
            </w:r>
          </w:p>
        </w:tc>
      </w:tr>
      <w:tr w:rsidR="00FF205D" w14:paraId="4AFCED8E" w14:textId="77777777" w:rsidTr="00FF205D">
        <w:trPr>
          <w:trHeight w:val="2722"/>
        </w:trPr>
        <w:tc>
          <w:tcPr>
            <w:tcW w:w="996" w:type="dxa"/>
            <w:tcBorders>
              <w:top w:val="single" w:sz="4" w:space="0" w:color="000000"/>
              <w:left w:val="single" w:sz="4" w:space="0" w:color="000000"/>
              <w:bottom w:val="single" w:sz="4" w:space="0" w:color="000000"/>
            </w:tcBorders>
            <w:shd w:val="clear" w:color="auto" w:fill="auto"/>
          </w:tcPr>
          <w:p w14:paraId="2C00FD46" w14:textId="77777777" w:rsidR="00FF205D" w:rsidRDefault="00FF205D">
            <w:pPr>
              <w:spacing w:line="240" w:lineRule="auto"/>
              <w:jc w:val="center"/>
            </w:pPr>
            <w:r>
              <w:t>9h</w:t>
            </w:r>
          </w:p>
          <w:p w14:paraId="3D012658" w14:textId="77777777" w:rsidR="00FF205D" w:rsidRDefault="00FF205D">
            <w:pPr>
              <w:spacing w:line="240" w:lineRule="auto"/>
              <w:jc w:val="center"/>
            </w:pPr>
          </w:p>
          <w:p w14:paraId="7028D57B" w14:textId="77777777" w:rsidR="00FF205D" w:rsidRDefault="00FF205D">
            <w:pPr>
              <w:spacing w:line="240" w:lineRule="auto"/>
              <w:jc w:val="center"/>
            </w:pPr>
          </w:p>
          <w:p w14:paraId="6992D5E1" w14:textId="77777777" w:rsidR="00FF205D" w:rsidRDefault="00FF205D">
            <w:pPr>
              <w:spacing w:line="240" w:lineRule="auto"/>
              <w:jc w:val="center"/>
            </w:pPr>
          </w:p>
          <w:p w14:paraId="4123FEDE" w14:textId="77777777" w:rsidR="00FF205D" w:rsidRDefault="00FF205D">
            <w:pPr>
              <w:spacing w:line="240" w:lineRule="auto"/>
              <w:jc w:val="center"/>
            </w:pPr>
          </w:p>
          <w:p w14:paraId="1CF5543B" w14:textId="77777777" w:rsidR="00FF205D" w:rsidRDefault="00FF205D">
            <w:pPr>
              <w:spacing w:line="240" w:lineRule="auto"/>
            </w:pPr>
          </w:p>
          <w:p w14:paraId="0AAD1D26" w14:textId="77777777" w:rsidR="00FF205D" w:rsidRDefault="00FF205D">
            <w:pPr>
              <w:spacing w:line="240" w:lineRule="auto"/>
              <w:jc w:val="center"/>
            </w:pPr>
          </w:p>
        </w:tc>
        <w:tc>
          <w:tcPr>
            <w:tcW w:w="2604" w:type="dxa"/>
            <w:tcBorders>
              <w:top w:val="single" w:sz="4" w:space="0" w:color="000000"/>
              <w:left w:val="single" w:sz="4" w:space="0" w:color="000000"/>
              <w:bottom w:val="single" w:sz="4" w:space="0" w:color="000000"/>
            </w:tcBorders>
            <w:shd w:val="clear" w:color="auto" w:fill="auto"/>
          </w:tcPr>
          <w:p w14:paraId="2E43F9BF" w14:textId="77777777" w:rsidR="00FF205D" w:rsidRDefault="00FF205D">
            <w:pPr>
              <w:spacing w:line="240" w:lineRule="auto"/>
              <w:jc w:val="center"/>
            </w:pPr>
          </w:p>
          <w:p w14:paraId="00D0DE0C" w14:textId="77777777" w:rsidR="00FF205D" w:rsidRDefault="00FF205D">
            <w:pPr>
              <w:spacing w:line="240" w:lineRule="auto"/>
              <w:jc w:val="center"/>
            </w:pPr>
            <w:r>
              <w:t>Présentation de l’ISST et du stage</w:t>
            </w:r>
          </w:p>
          <w:p w14:paraId="67E314AD" w14:textId="77777777" w:rsidR="00FF205D" w:rsidRDefault="00FF205D">
            <w:pPr>
              <w:spacing w:line="240" w:lineRule="auto"/>
              <w:jc w:val="center"/>
              <w:rPr>
                <w:sz w:val="20"/>
              </w:rPr>
            </w:pPr>
            <w:r>
              <w:t>Tour de table</w:t>
            </w:r>
          </w:p>
          <w:p w14:paraId="0D9D1209" w14:textId="77777777" w:rsidR="00FF205D" w:rsidRDefault="00FF205D">
            <w:pPr>
              <w:spacing w:line="240" w:lineRule="auto"/>
              <w:jc w:val="center"/>
            </w:pPr>
            <w:r>
              <w:rPr>
                <w:sz w:val="20"/>
              </w:rPr>
              <w:t>__________________</w:t>
            </w:r>
          </w:p>
          <w:p w14:paraId="5DC99266" w14:textId="77777777" w:rsidR="00FF205D" w:rsidRDefault="00FF205D">
            <w:pPr>
              <w:spacing w:line="240" w:lineRule="auto"/>
              <w:jc w:val="center"/>
            </w:pPr>
          </w:p>
          <w:p w14:paraId="19023690" w14:textId="21E92C66" w:rsidR="00FF205D" w:rsidRDefault="00482A53" w:rsidP="00640FC1">
            <w:pPr>
              <w:spacing w:line="240" w:lineRule="auto"/>
              <w:jc w:val="center"/>
            </w:pPr>
            <w:r>
              <w:t>Du droit commun au droit du travail de la preuve</w:t>
            </w:r>
          </w:p>
          <w:p w14:paraId="04F3EE2F" w14:textId="77777777" w:rsidR="00FF205D" w:rsidRDefault="00FF205D">
            <w:pPr>
              <w:spacing w:line="240" w:lineRule="auto"/>
              <w:jc w:val="center"/>
            </w:pPr>
          </w:p>
          <w:p w14:paraId="1D053993" w14:textId="43A65458" w:rsidR="00FF205D" w:rsidRDefault="00482A53">
            <w:pPr>
              <w:spacing w:line="240" w:lineRule="auto"/>
              <w:jc w:val="center"/>
            </w:pPr>
            <w:r>
              <w:t>J. Morin</w:t>
            </w:r>
            <w:r w:rsidR="00640FC1">
              <w:t xml:space="preserve"> (</w:t>
            </w:r>
            <w:r>
              <w:t>ISST</w:t>
            </w:r>
            <w:r w:rsidR="00640FC1">
              <w:t>)</w:t>
            </w:r>
          </w:p>
          <w:p w14:paraId="6C7E6E3A" w14:textId="77777777" w:rsidR="00FF205D" w:rsidRDefault="00FF205D" w:rsidP="00912032">
            <w:pPr>
              <w:spacing w:line="240" w:lineRule="auto"/>
              <w:jc w:val="center"/>
            </w:pPr>
          </w:p>
        </w:tc>
        <w:tc>
          <w:tcPr>
            <w:tcW w:w="2289" w:type="dxa"/>
            <w:tcBorders>
              <w:top w:val="single" w:sz="4" w:space="0" w:color="000000"/>
              <w:left w:val="single" w:sz="4" w:space="0" w:color="000000"/>
              <w:bottom w:val="single" w:sz="4" w:space="0" w:color="000000"/>
            </w:tcBorders>
            <w:shd w:val="clear" w:color="auto" w:fill="auto"/>
          </w:tcPr>
          <w:p w14:paraId="49579F41" w14:textId="77777777" w:rsidR="00FF205D" w:rsidRDefault="00FF205D">
            <w:pPr>
              <w:pStyle w:val="Corpsdetexte"/>
              <w:autoSpaceDE/>
              <w:snapToGrid w:val="0"/>
              <w:rPr>
                <w:rFonts w:ascii="Times New Roman" w:hAnsi="Times New Roman" w:cs="Times New Roman"/>
              </w:rPr>
            </w:pPr>
          </w:p>
          <w:p w14:paraId="418567F1" w14:textId="77777777" w:rsidR="00FF205D" w:rsidRDefault="00FF205D">
            <w:pPr>
              <w:pStyle w:val="Corpsdetexte"/>
              <w:autoSpaceDE/>
              <w:rPr>
                <w:rFonts w:ascii="Times New Roman" w:hAnsi="Times New Roman" w:cs="Times New Roman"/>
              </w:rPr>
            </w:pPr>
          </w:p>
          <w:p w14:paraId="35F14E89" w14:textId="342BB201" w:rsidR="00FF205D" w:rsidRDefault="00482A53" w:rsidP="00640FC1">
            <w:pPr>
              <w:spacing w:line="240" w:lineRule="auto"/>
            </w:pPr>
            <w:r>
              <w:t>Les dispositifs particuliers de preuve en droit du travail</w:t>
            </w:r>
          </w:p>
          <w:p w14:paraId="055EAA46" w14:textId="77777777" w:rsidR="00FF205D" w:rsidRDefault="00FF205D" w:rsidP="002103DF">
            <w:pPr>
              <w:spacing w:line="240" w:lineRule="auto"/>
              <w:jc w:val="center"/>
            </w:pPr>
          </w:p>
          <w:p w14:paraId="1BB7045E" w14:textId="430FEDB0" w:rsidR="00FF205D" w:rsidRDefault="00482A53" w:rsidP="00FF205D">
            <w:pPr>
              <w:spacing w:line="240" w:lineRule="auto"/>
              <w:jc w:val="center"/>
            </w:pPr>
            <w:r>
              <w:t xml:space="preserve">F. </w:t>
            </w:r>
            <w:proofErr w:type="spellStart"/>
            <w:r>
              <w:t>Duffaud</w:t>
            </w:r>
            <w:proofErr w:type="spellEnd"/>
            <w:r w:rsidR="00640FC1">
              <w:t xml:space="preserve"> (ISST)</w:t>
            </w:r>
          </w:p>
          <w:p w14:paraId="572F41D2" w14:textId="77777777" w:rsidR="00FF205D" w:rsidRDefault="00FF205D" w:rsidP="002103DF">
            <w:pPr>
              <w:pStyle w:val="Corpsdetexte"/>
              <w:autoSpaceDE/>
              <w:rPr>
                <w:rFonts w:ascii="Times New Roman" w:hAnsi="Times New Roman" w:cs="Times New Roman"/>
              </w:rPr>
            </w:pPr>
          </w:p>
        </w:tc>
      </w:tr>
      <w:tr w:rsidR="00FF205D" w14:paraId="1E7824F8" w14:textId="77777777" w:rsidTr="00FF205D">
        <w:trPr>
          <w:trHeight w:val="270"/>
        </w:trPr>
        <w:tc>
          <w:tcPr>
            <w:tcW w:w="996" w:type="dxa"/>
            <w:tcBorders>
              <w:top w:val="single" w:sz="4" w:space="0" w:color="000000"/>
              <w:left w:val="single" w:sz="4" w:space="0" w:color="000000"/>
              <w:bottom w:val="single" w:sz="4" w:space="0" w:color="000000"/>
            </w:tcBorders>
            <w:shd w:val="clear" w:color="auto" w:fill="auto"/>
          </w:tcPr>
          <w:p w14:paraId="64323960" w14:textId="77777777" w:rsidR="00FF205D" w:rsidRDefault="00FF205D">
            <w:pPr>
              <w:spacing w:line="240" w:lineRule="auto"/>
              <w:jc w:val="center"/>
            </w:pPr>
            <w:r>
              <w:t>12 h 30</w:t>
            </w:r>
          </w:p>
        </w:tc>
        <w:tc>
          <w:tcPr>
            <w:tcW w:w="2604" w:type="dxa"/>
            <w:tcBorders>
              <w:top w:val="single" w:sz="4" w:space="0" w:color="000000"/>
              <w:left w:val="single" w:sz="4" w:space="0" w:color="000000"/>
              <w:bottom w:val="single" w:sz="4" w:space="0" w:color="000000"/>
            </w:tcBorders>
            <w:shd w:val="clear" w:color="auto" w:fill="auto"/>
          </w:tcPr>
          <w:p w14:paraId="75CFFB14" w14:textId="77777777" w:rsidR="00FF205D" w:rsidRDefault="00FF205D">
            <w:pPr>
              <w:snapToGrid w:val="0"/>
              <w:spacing w:line="240" w:lineRule="auto"/>
              <w:jc w:val="center"/>
            </w:pPr>
          </w:p>
        </w:tc>
        <w:tc>
          <w:tcPr>
            <w:tcW w:w="2289" w:type="dxa"/>
            <w:tcBorders>
              <w:top w:val="single" w:sz="4" w:space="0" w:color="000000"/>
              <w:left w:val="single" w:sz="4" w:space="0" w:color="000000"/>
              <w:bottom w:val="single" w:sz="4" w:space="0" w:color="000000"/>
            </w:tcBorders>
            <w:shd w:val="clear" w:color="auto" w:fill="auto"/>
          </w:tcPr>
          <w:p w14:paraId="46E01AFD" w14:textId="77777777" w:rsidR="00FF205D" w:rsidRDefault="00FF205D">
            <w:pPr>
              <w:snapToGrid w:val="0"/>
              <w:spacing w:line="240" w:lineRule="auto"/>
              <w:jc w:val="center"/>
            </w:pPr>
          </w:p>
        </w:tc>
      </w:tr>
      <w:tr w:rsidR="00FF205D" w:rsidRPr="00C34419" w14:paraId="214BA98A" w14:textId="77777777" w:rsidTr="00FF205D">
        <w:trPr>
          <w:trHeight w:val="2912"/>
        </w:trPr>
        <w:tc>
          <w:tcPr>
            <w:tcW w:w="996" w:type="dxa"/>
            <w:tcBorders>
              <w:top w:val="single" w:sz="4" w:space="0" w:color="000000"/>
              <w:left w:val="single" w:sz="4" w:space="0" w:color="000000"/>
              <w:bottom w:val="single" w:sz="4" w:space="0" w:color="000000"/>
            </w:tcBorders>
            <w:shd w:val="clear" w:color="auto" w:fill="auto"/>
          </w:tcPr>
          <w:p w14:paraId="022EF565" w14:textId="77777777" w:rsidR="00FF205D" w:rsidRDefault="00FF205D">
            <w:pPr>
              <w:spacing w:line="240" w:lineRule="auto"/>
              <w:jc w:val="center"/>
            </w:pPr>
            <w:r>
              <w:t>14h</w:t>
            </w:r>
          </w:p>
          <w:p w14:paraId="5E88D91D" w14:textId="77777777" w:rsidR="00FF205D" w:rsidRDefault="00FF205D">
            <w:pPr>
              <w:spacing w:line="240" w:lineRule="auto"/>
              <w:jc w:val="center"/>
            </w:pPr>
          </w:p>
          <w:p w14:paraId="42FE1AEF" w14:textId="77777777" w:rsidR="00FF205D" w:rsidRDefault="00FF205D">
            <w:pPr>
              <w:spacing w:line="240" w:lineRule="auto"/>
              <w:jc w:val="center"/>
            </w:pPr>
          </w:p>
          <w:p w14:paraId="295C14CC" w14:textId="77777777" w:rsidR="00FF205D" w:rsidRDefault="00FF205D">
            <w:pPr>
              <w:spacing w:line="240" w:lineRule="auto"/>
              <w:jc w:val="center"/>
            </w:pPr>
          </w:p>
          <w:p w14:paraId="4C96A502" w14:textId="77777777" w:rsidR="00FF205D" w:rsidRDefault="00FF205D">
            <w:pPr>
              <w:spacing w:line="240" w:lineRule="auto"/>
              <w:jc w:val="center"/>
            </w:pPr>
          </w:p>
          <w:p w14:paraId="4A4521D5" w14:textId="77777777" w:rsidR="00FF205D" w:rsidRDefault="00FF205D">
            <w:pPr>
              <w:spacing w:line="240" w:lineRule="auto"/>
              <w:jc w:val="center"/>
            </w:pPr>
          </w:p>
          <w:p w14:paraId="592FB5A1" w14:textId="77777777" w:rsidR="00FF205D" w:rsidRDefault="00FF205D">
            <w:pPr>
              <w:spacing w:line="240" w:lineRule="auto"/>
              <w:jc w:val="center"/>
            </w:pPr>
          </w:p>
          <w:p w14:paraId="1657C5BF" w14:textId="77777777" w:rsidR="00FF205D" w:rsidRDefault="00FF205D">
            <w:pPr>
              <w:spacing w:line="240" w:lineRule="auto"/>
              <w:jc w:val="center"/>
            </w:pPr>
          </w:p>
          <w:p w14:paraId="4049E536" w14:textId="77777777" w:rsidR="00FF205D" w:rsidRDefault="00FF205D">
            <w:pPr>
              <w:spacing w:line="240" w:lineRule="auto"/>
              <w:jc w:val="center"/>
            </w:pPr>
          </w:p>
          <w:p w14:paraId="6DEB24A0" w14:textId="77777777" w:rsidR="00FF205D" w:rsidRDefault="00FF205D">
            <w:pPr>
              <w:spacing w:line="240" w:lineRule="auto"/>
            </w:pPr>
            <w:r>
              <w:t xml:space="preserve">18h </w:t>
            </w:r>
          </w:p>
        </w:tc>
        <w:tc>
          <w:tcPr>
            <w:tcW w:w="2604" w:type="dxa"/>
            <w:tcBorders>
              <w:top w:val="single" w:sz="4" w:space="0" w:color="000000"/>
              <w:left w:val="single" w:sz="4" w:space="0" w:color="000000"/>
              <w:bottom w:val="single" w:sz="4" w:space="0" w:color="000000"/>
            </w:tcBorders>
            <w:shd w:val="clear" w:color="auto" w:fill="auto"/>
          </w:tcPr>
          <w:p w14:paraId="70E9106C" w14:textId="77777777" w:rsidR="00FF205D" w:rsidRDefault="00FF205D">
            <w:pPr>
              <w:pStyle w:val="Corpsdetexte"/>
              <w:autoSpaceDE/>
              <w:snapToGrid w:val="0"/>
            </w:pPr>
          </w:p>
          <w:p w14:paraId="6FBC2717" w14:textId="77777777" w:rsidR="00482A53" w:rsidRDefault="00482A53" w:rsidP="00482A53">
            <w:pPr>
              <w:spacing w:line="240" w:lineRule="auto"/>
              <w:jc w:val="center"/>
            </w:pPr>
            <w:r>
              <w:t>Du droit commun au droit du travail de la preuve</w:t>
            </w:r>
          </w:p>
          <w:p w14:paraId="70C745B5" w14:textId="77777777" w:rsidR="00FF205D" w:rsidRDefault="00FF205D">
            <w:pPr>
              <w:spacing w:line="240" w:lineRule="auto"/>
              <w:jc w:val="center"/>
            </w:pPr>
          </w:p>
          <w:p w14:paraId="1A544DBD" w14:textId="77777777" w:rsidR="00482A53" w:rsidRDefault="00482A53" w:rsidP="00482A53">
            <w:pPr>
              <w:spacing w:line="240" w:lineRule="auto"/>
              <w:jc w:val="center"/>
            </w:pPr>
            <w:r>
              <w:t>J. Morin (ISST)</w:t>
            </w:r>
          </w:p>
          <w:p w14:paraId="27CA32AE" w14:textId="0E5F0253" w:rsidR="00FF205D" w:rsidRDefault="00FF205D" w:rsidP="00FF205D">
            <w:pPr>
              <w:spacing w:line="240" w:lineRule="auto"/>
              <w:jc w:val="center"/>
              <w:rPr>
                <w:szCs w:val="24"/>
              </w:rPr>
            </w:pPr>
          </w:p>
        </w:tc>
        <w:tc>
          <w:tcPr>
            <w:tcW w:w="2289" w:type="dxa"/>
            <w:tcBorders>
              <w:top w:val="single" w:sz="4" w:space="0" w:color="000000"/>
              <w:left w:val="single" w:sz="4" w:space="0" w:color="000000"/>
              <w:bottom w:val="single" w:sz="4" w:space="0" w:color="000000"/>
            </w:tcBorders>
            <w:shd w:val="clear" w:color="auto" w:fill="auto"/>
          </w:tcPr>
          <w:p w14:paraId="130715DB" w14:textId="77777777" w:rsidR="00FF205D" w:rsidRDefault="00FF205D">
            <w:pPr>
              <w:pStyle w:val="Corpsdetexte"/>
              <w:autoSpaceDE/>
              <w:snapToGrid w:val="0"/>
              <w:rPr>
                <w:rFonts w:ascii="Times New Roman" w:hAnsi="Times New Roman" w:cs="Times New Roman"/>
                <w:szCs w:val="24"/>
              </w:rPr>
            </w:pPr>
          </w:p>
          <w:p w14:paraId="11DE2178" w14:textId="75E7799E" w:rsidR="00FF205D" w:rsidRDefault="00482A53" w:rsidP="008C104F">
            <w:pPr>
              <w:pStyle w:val="Corpsdetexte"/>
              <w:autoSpaceDE/>
            </w:pPr>
            <w:r>
              <w:t>L’appréciation des éléments de preuve</w:t>
            </w:r>
          </w:p>
          <w:p w14:paraId="2644D39D" w14:textId="5A4B200D" w:rsidR="00FF205D" w:rsidRPr="00ED2301" w:rsidRDefault="00FF205D" w:rsidP="00ED2301">
            <w:pPr>
              <w:pStyle w:val="Corpsdetexte"/>
              <w:autoSpaceDE/>
              <w:rPr>
                <w:rFonts w:ascii="Times New Roman" w:hAnsi="Times New Roman" w:cs="Times New Roman"/>
              </w:rPr>
            </w:pPr>
            <w:r w:rsidRPr="00447770">
              <w:t>J. MORIN</w:t>
            </w:r>
            <w:r w:rsidRPr="00447770">
              <w:rPr>
                <w:rFonts w:ascii="Times New Roman" w:hAnsi="Times New Roman" w:cs="Times New Roman"/>
                <w:szCs w:val="24"/>
              </w:rPr>
              <w:t>/</w:t>
            </w:r>
            <w:r w:rsidRPr="00447770">
              <w:rPr>
                <w:rFonts w:ascii="Times New Roman" w:hAnsi="Times New Roman" w:cs="Times New Roman"/>
                <w:color w:val="000000"/>
                <w:szCs w:val="24"/>
                <w:shd w:val="clear" w:color="auto" w:fill="FFFFFF"/>
              </w:rPr>
              <w:t xml:space="preserve"> </w:t>
            </w:r>
            <w:r w:rsidR="00ED2301" w:rsidRPr="00ED2301">
              <w:t>M.-A.</w:t>
            </w:r>
            <w:r w:rsidR="00ED2301">
              <w:t xml:space="preserve"> </w:t>
            </w:r>
            <w:r w:rsidR="00ED2301" w:rsidRPr="00ED2301">
              <w:t>MARCANTONI</w:t>
            </w:r>
          </w:p>
          <w:p w14:paraId="3976E568" w14:textId="77777777" w:rsidR="00FF205D" w:rsidRDefault="00FF205D" w:rsidP="008C104F">
            <w:pPr>
              <w:pStyle w:val="Corpsdetexte"/>
              <w:autoSpaceDE/>
              <w:rPr>
                <w:i/>
                <w:iCs/>
              </w:rPr>
            </w:pPr>
          </w:p>
        </w:tc>
      </w:tr>
      <w:bookmarkEnd w:id="0"/>
    </w:tbl>
    <w:p w14:paraId="075C78B2" w14:textId="77777777" w:rsidR="00472637" w:rsidRDefault="00472637">
      <w:pPr>
        <w:spacing w:line="240" w:lineRule="auto"/>
        <w:ind w:left="720"/>
        <w:sectPr w:rsidR="00472637">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720" w:footer="720" w:gutter="0"/>
          <w:cols w:space="720"/>
          <w:docGrid w:linePitch="600" w:charSpace="32768"/>
        </w:sectPr>
      </w:pPr>
    </w:p>
    <w:p w14:paraId="018F0542" w14:textId="77777777" w:rsidR="00472637" w:rsidRDefault="00472637" w:rsidP="00472637">
      <w:pPr>
        <w:jc w:val="center"/>
        <w:rPr>
          <w:b/>
        </w:rPr>
      </w:pPr>
      <w:r>
        <w:rPr>
          <w:b/>
          <w:bCs/>
        </w:rPr>
        <w:lastRenderedPageBreak/>
        <w:t>STAGE CFE-CGC</w:t>
      </w:r>
    </w:p>
    <w:p w14:paraId="66C9581E" w14:textId="77777777" w:rsidR="00472637" w:rsidRDefault="00472637" w:rsidP="00472637">
      <w:pPr>
        <w:jc w:val="center"/>
        <w:rPr>
          <w:b/>
          <w:bCs/>
        </w:rPr>
      </w:pPr>
      <w:r>
        <w:rPr>
          <w:b/>
          <w:bCs/>
        </w:rPr>
        <w:t>Négociation collective</w:t>
      </w:r>
    </w:p>
    <w:p w14:paraId="55465801" w14:textId="77777777" w:rsidR="00472637" w:rsidRDefault="00472637" w:rsidP="00472637">
      <w:pPr>
        <w:pStyle w:val="Titre2"/>
        <w:widowControl w:val="0"/>
        <w:tabs>
          <w:tab w:val="clear" w:pos="576"/>
          <w:tab w:val="num" w:pos="0"/>
        </w:tabs>
        <w:spacing w:line="240" w:lineRule="auto"/>
        <w:rPr>
          <w:bCs/>
        </w:rPr>
      </w:pPr>
      <w:r>
        <w:rPr>
          <w:bCs/>
        </w:rPr>
        <w:t>Du 25 au 28 mai 2021</w:t>
      </w:r>
    </w:p>
    <w:p w14:paraId="06AB1341" w14:textId="77777777" w:rsidR="00472637" w:rsidRDefault="00472637" w:rsidP="00472637">
      <w:pPr>
        <w:jc w:val="center"/>
        <w:rPr>
          <w:b/>
          <w:bCs/>
        </w:rPr>
      </w:pPr>
    </w:p>
    <w:p w14:paraId="6C0E65E0" w14:textId="77777777" w:rsidR="00472637" w:rsidRDefault="00472637" w:rsidP="00472637">
      <w:pPr>
        <w:jc w:val="center"/>
        <w:rPr>
          <w:b/>
          <w:bCs/>
        </w:rPr>
      </w:pPr>
    </w:p>
    <w:p w14:paraId="7F67243A" w14:textId="77777777" w:rsidR="00472637" w:rsidRDefault="00472637" w:rsidP="00472637">
      <w:pPr>
        <w:jc w:val="center"/>
        <w:rPr>
          <w:b/>
          <w:bCs/>
        </w:rPr>
      </w:pPr>
      <w:r>
        <w:rPr>
          <w:b/>
          <w:bCs/>
        </w:rPr>
        <w:t>Responsable universitaire : Joseph Morin (ISST)</w:t>
      </w:r>
    </w:p>
    <w:p w14:paraId="32E5CDF7" w14:textId="77777777" w:rsidR="00472637" w:rsidRDefault="00472637" w:rsidP="00472637">
      <w:pPr>
        <w:jc w:val="center"/>
      </w:pPr>
      <w:r>
        <w:rPr>
          <w:b/>
          <w:bCs/>
        </w:rPr>
        <w:t xml:space="preserve">Responsable syndical : M.-A </w:t>
      </w:r>
      <w:proofErr w:type="spellStart"/>
      <w:r>
        <w:rPr>
          <w:b/>
          <w:bCs/>
        </w:rPr>
        <w:t>Marcantonni</w:t>
      </w:r>
      <w:proofErr w:type="spellEnd"/>
      <w:r>
        <w:rPr>
          <w:b/>
          <w:bCs/>
        </w:rPr>
        <w:t xml:space="preserve"> (CFE-CGC)</w:t>
      </w:r>
    </w:p>
    <w:p w14:paraId="351B512D" w14:textId="77777777" w:rsidR="00472637" w:rsidRDefault="00472637" w:rsidP="00472637">
      <w:pPr>
        <w:jc w:val="center"/>
      </w:pPr>
    </w:p>
    <w:p w14:paraId="7405FA05" w14:textId="77777777" w:rsidR="00472637" w:rsidRDefault="00472637" w:rsidP="00472637">
      <w:pPr>
        <w:jc w:val="center"/>
      </w:pPr>
    </w:p>
    <w:p w14:paraId="24558762" w14:textId="77777777" w:rsidR="00472637" w:rsidRDefault="00472637" w:rsidP="00472637"/>
    <w:p w14:paraId="00376DEF" w14:textId="77777777" w:rsidR="00472637" w:rsidRDefault="00472637" w:rsidP="00472637">
      <w:r>
        <w:t xml:space="preserve"> </w:t>
      </w:r>
    </w:p>
    <w:p w14:paraId="69810732" w14:textId="77777777" w:rsidR="00472637" w:rsidRDefault="00472637" w:rsidP="00472637">
      <w:r w:rsidRPr="00E94C79">
        <w:rPr>
          <w:b/>
        </w:rPr>
        <w:t>Objectifs</w:t>
      </w:r>
      <w:r>
        <w:t xml:space="preserve"> : Cette session de formation a vocation à rappeler aux stagiaires les règles relatives au droit commun de la preuve, les évolutions récentes en la matière (droit à la preuve, pouvoir d’instruction du juge) et à mieux appréhender les aménagements probatoires particuliers existants en droit du travail. </w:t>
      </w:r>
    </w:p>
    <w:p w14:paraId="15FDEACD" w14:textId="77777777" w:rsidR="00472637" w:rsidRDefault="00472637" w:rsidP="00472637"/>
    <w:p w14:paraId="49256FF9" w14:textId="77777777" w:rsidR="00472637" w:rsidRDefault="00472637" w:rsidP="00472637">
      <w:r w:rsidRPr="00E94C79">
        <w:rPr>
          <w:b/>
        </w:rPr>
        <w:t>Programme</w:t>
      </w:r>
      <w:r>
        <w:t xml:space="preserve"> : Le programme de la session s'oriente donc autour du droit probatoire. Il se subdivise autour d’une première partie consacrée à la preuve en droit commun, et un second temps consacré aux aménagements propres au droit du travail.   </w:t>
      </w:r>
    </w:p>
    <w:p w14:paraId="3C457175" w14:textId="77777777" w:rsidR="00472637" w:rsidRDefault="00472637" w:rsidP="00472637"/>
    <w:p w14:paraId="4F1E72B7" w14:textId="77777777" w:rsidR="00472637" w:rsidRDefault="00472637" w:rsidP="00472637">
      <w:r>
        <w:t xml:space="preserve">Les thèmes de formation retenus sont : </w:t>
      </w:r>
    </w:p>
    <w:p w14:paraId="5E23AED2" w14:textId="77777777" w:rsidR="00472637" w:rsidRDefault="00472637" w:rsidP="00472637"/>
    <w:p w14:paraId="19F68E0D" w14:textId="77777777" w:rsidR="00472637" w:rsidRDefault="00472637" w:rsidP="00472637">
      <w:pPr>
        <w:pStyle w:val="Corpsdetexte"/>
        <w:widowControl w:val="0"/>
        <w:numPr>
          <w:ilvl w:val="0"/>
          <w:numId w:val="2"/>
        </w:numPr>
        <w:autoSpaceDE/>
        <w:spacing w:after="120"/>
        <w:jc w:val="both"/>
      </w:pPr>
      <w:r>
        <w:t>Une présentation du droit commun de la preuve (objet et charge de la preuve)</w:t>
      </w:r>
    </w:p>
    <w:p w14:paraId="22B44172" w14:textId="77777777" w:rsidR="00472637" w:rsidRDefault="00472637" w:rsidP="00472637">
      <w:pPr>
        <w:pStyle w:val="Corpsdetexte"/>
        <w:widowControl w:val="0"/>
        <w:numPr>
          <w:ilvl w:val="0"/>
          <w:numId w:val="2"/>
        </w:numPr>
        <w:autoSpaceDE/>
        <w:spacing w:after="120"/>
        <w:jc w:val="both"/>
      </w:pPr>
      <w:r>
        <w:t>Une attention sur les évolutions contemporaines de la matière ;</w:t>
      </w:r>
    </w:p>
    <w:p w14:paraId="783F7925" w14:textId="77777777" w:rsidR="00472637" w:rsidRDefault="00472637" w:rsidP="00472637">
      <w:pPr>
        <w:pStyle w:val="Corpsdetexte"/>
        <w:widowControl w:val="0"/>
        <w:numPr>
          <w:ilvl w:val="0"/>
          <w:numId w:val="2"/>
        </w:numPr>
        <w:autoSpaceDE/>
        <w:spacing w:after="120"/>
        <w:jc w:val="both"/>
      </w:pPr>
      <w:r>
        <w:t>Un regard sur les règles spéciales de preuve (discrimination, harcèlements et temps de travail)</w:t>
      </w:r>
    </w:p>
    <w:p w14:paraId="36176C44" w14:textId="77777777" w:rsidR="00472637" w:rsidRDefault="00472637" w:rsidP="00472637">
      <w:pPr>
        <w:pStyle w:val="Corpsdetexte"/>
        <w:widowControl w:val="0"/>
        <w:numPr>
          <w:ilvl w:val="0"/>
          <w:numId w:val="2"/>
        </w:numPr>
        <w:autoSpaceDE/>
        <w:spacing w:after="120"/>
        <w:jc w:val="both"/>
      </w:pPr>
      <w:r>
        <w:t xml:space="preserve">Une discussion sur les conditions concrètes de l’appréhension d’un dossier probatoire. </w:t>
      </w:r>
    </w:p>
    <w:p w14:paraId="3BA12EDE" w14:textId="77777777" w:rsidR="00472637" w:rsidRDefault="00472637" w:rsidP="00472637"/>
    <w:p w14:paraId="318FBD09" w14:textId="77777777" w:rsidR="00472637" w:rsidRDefault="00472637" w:rsidP="00472637">
      <w:r w:rsidRPr="00EE666D">
        <w:rPr>
          <w:b/>
        </w:rPr>
        <w:t>Méthode</w:t>
      </w:r>
      <w:r>
        <w:t xml:space="preserve"> : Les interventions théoriques alterneront avec des exercices de contrôle des connaissances et de mise en situation. Le mode distanciel imposera par ailleurs une attention particulière sur des exercices permettant une meilleure interactivité entre les participants. </w:t>
      </w:r>
    </w:p>
    <w:p w14:paraId="6EB3D60B" w14:textId="327681C0" w:rsidR="007959F6" w:rsidRPr="00482A53" w:rsidRDefault="007959F6">
      <w:pPr>
        <w:spacing w:line="240" w:lineRule="auto"/>
        <w:ind w:left="720"/>
      </w:pPr>
      <w:bookmarkStart w:id="1" w:name="_GoBack"/>
      <w:bookmarkEnd w:id="1"/>
    </w:p>
    <w:sectPr w:rsidR="007959F6" w:rsidRPr="00482A53" w:rsidSect="00472637">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D816A" w14:textId="77777777" w:rsidR="00C60FE2" w:rsidRDefault="00C60FE2" w:rsidP="002103DF">
      <w:pPr>
        <w:spacing w:line="240" w:lineRule="auto"/>
      </w:pPr>
      <w:r>
        <w:separator/>
      </w:r>
    </w:p>
  </w:endnote>
  <w:endnote w:type="continuationSeparator" w:id="0">
    <w:p w14:paraId="6D6DAA6F" w14:textId="77777777" w:rsidR="00C60FE2" w:rsidRDefault="00C60FE2" w:rsidP="00210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5A1C" w14:textId="77777777" w:rsidR="002103DF" w:rsidRDefault="00210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0246D" w14:textId="77777777" w:rsidR="002103DF" w:rsidRDefault="002103D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C3067" w14:textId="77777777" w:rsidR="002103DF" w:rsidRDefault="002103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FE4B9" w14:textId="77777777" w:rsidR="00C60FE2" w:rsidRDefault="00C60FE2" w:rsidP="002103DF">
      <w:pPr>
        <w:spacing w:line="240" w:lineRule="auto"/>
      </w:pPr>
      <w:r>
        <w:separator/>
      </w:r>
    </w:p>
  </w:footnote>
  <w:footnote w:type="continuationSeparator" w:id="0">
    <w:p w14:paraId="09728368" w14:textId="77777777" w:rsidR="00C60FE2" w:rsidRDefault="00C60FE2" w:rsidP="002103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CB52" w14:textId="77777777" w:rsidR="002103DF" w:rsidRDefault="002103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E1AA4" w14:textId="77777777" w:rsidR="002103DF" w:rsidRDefault="00472637">
    <w:pPr>
      <w:pStyle w:val="En-tte"/>
    </w:pPr>
    <w:r>
      <w:pict w14:anchorId="2E5D88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left:0;text-align:left;margin-left:0;margin-top:0;width:452.95pt;height:226.45pt;rotation:315;z-index:-251658752;mso-wrap-edited:f;mso-width-percent:0;mso-height-percent:0;mso-position-horizontal:center;mso-position-horizontal-relative:margin;mso-position-vertical:center;mso-position-vertical-relative:margin;mso-width-percent:0;mso-height-percent:0" o:allowincell="f" fillcolor="black"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8377" w14:textId="77777777" w:rsidR="002103DF" w:rsidRDefault="002103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419"/>
    <w:rsid w:val="00011AEC"/>
    <w:rsid w:val="0014589E"/>
    <w:rsid w:val="001C6CFE"/>
    <w:rsid w:val="002103DF"/>
    <w:rsid w:val="002D6403"/>
    <w:rsid w:val="0036121F"/>
    <w:rsid w:val="00447770"/>
    <w:rsid w:val="004555B1"/>
    <w:rsid w:val="00472637"/>
    <w:rsid w:val="00482A53"/>
    <w:rsid w:val="005B71FB"/>
    <w:rsid w:val="005D65D6"/>
    <w:rsid w:val="00640FC1"/>
    <w:rsid w:val="00656DB1"/>
    <w:rsid w:val="006801C9"/>
    <w:rsid w:val="006E59EB"/>
    <w:rsid w:val="007959F6"/>
    <w:rsid w:val="007E3BFE"/>
    <w:rsid w:val="008C104F"/>
    <w:rsid w:val="008C6133"/>
    <w:rsid w:val="00912032"/>
    <w:rsid w:val="00961CAD"/>
    <w:rsid w:val="009E2B89"/>
    <w:rsid w:val="009F4A82"/>
    <w:rsid w:val="00A61646"/>
    <w:rsid w:val="00B42125"/>
    <w:rsid w:val="00BA1E08"/>
    <w:rsid w:val="00C15EC0"/>
    <w:rsid w:val="00C34419"/>
    <w:rsid w:val="00C60FE2"/>
    <w:rsid w:val="00CC3F7E"/>
    <w:rsid w:val="00D0152C"/>
    <w:rsid w:val="00E07260"/>
    <w:rsid w:val="00E12401"/>
    <w:rsid w:val="00E23423"/>
    <w:rsid w:val="00E37046"/>
    <w:rsid w:val="00EB3265"/>
    <w:rsid w:val="00ED2301"/>
    <w:rsid w:val="00F07FEA"/>
    <w:rsid w:val="00F459E3"/>
    <w:rsid w:val="00FF20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AB0022A"/>
  <w15:chartTrackingRefBased/>
  <w15:docId w15:val="{EFC1B2E6-3EC1-494F-BB0F-7ED61D56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FC1"/>
    <w:pPr>
      <w:suppressAutoHyphens/>
      <w:spacing w:line="360" w:lineRule="auto"/>
      <w:jc w:val="both"/>
    </w:pPr>
    <w:rPr>
      <w:sz w:val="24"/>
      <w:lang w:eastAsia="ar-SA"/>
    </w:rPr>
  </w:style>
  <w:style w:type="paragraph" w:styleId="Titre2">
    <w:name w:val="heading 2"/>
    <w:basedOn w:val="Normal"/>
    <w:next w:val="Normal"/>
    <w:qFormat/>
    <w:pPr>
      <w:keepNext/>
      <w:numPr>
        <w:ilvl w:val="1"/>
        <w:numId w:val="1"/>
      </w:numPr>
      <w:jc w:val="center"/>
      <w:outlineLvl w:val="1"/>
    </w:pPr>
    <w:rPr>
      <w:b/>
    </w:rPr>
  </w:style>
  <w:style w:type="paragraph" w:styleId="Titre3">
    <w:name w:val="heading 3"/>
    <w:basedOn w:val="Normal"/>
    <w:next w:val="Normal"/>
    <w:qFormat/>
    <w:pPr>
      <w:keepNext/>
      <w:numPr>
        <w:ilvl w:val="2"/>
        <w:numId w:val="1"/>
      </w:numPr>
      <w:spacing w:line="240" w:lineRule="auto"/>
      <w:jc w:val="center"/>
      <w:outlineLvl w:val="2"/>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eastAsia="Times New Roman" w:hAnsi="Symbol"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1">
    <w:name w:val="Police par défaut1"/>
  </w:style>
  <w:style w:type="character" w:customStyle="1" w:styleId="CorpsdetexteCar">
    <w:name w:val="Corps de texte Car"/>
    <w:rPr>
      <w:rFonts w:eastAsia="Times New Roman"/>
      <w:sz w:val="24"/>
    </w:rPr>
  </w:style>
  <w:style w:type="paragraph" w:customStyle="1" w:styleId="Titre1">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autoSpaceDE w:val="0"/>
      <w:spacing w:line="240" w:lineRule="auto"/>
      <w:jc w:val="center"/>
    </w:pPr>
    <w:rPr>
      <w:rFonts w:ascii="Times" w:hAnsi="Times" w:cs="Times"/>
    </w:rPr>
  </w:style>
  <w:style w:type="paragraph" w:styleId="Liste">
    <w:name w:val="List"/>
    <w:basedOn w:val="Corpsdetexte"/>
  </w:style>
  <w:style w:type="paragraph" w:customStyle="1" w:styleId="Lgende1">
    <w:name w:val="Légende1"/>
    <w:basedOn w:val="Normal"/>
    <w:pPr>
      <w:suppressLineNumbers/>
      <w:spacing w:before="120" w:after="120"/>
    </w:pPr>
    <w:rPr>
      <w:i/>
      <w:iCs/>
      <w:szCs w:val="24"/>
    </w:rPr>
  </w:style>
  <w:style w:type="paragraph" w:customStyle="1" w:styleId="Index">
    <w:name w:val="Index"/>
    <w:basedOn w:val="Normal"/>
    <w:pPr>
      <w:suppressLineNumbers/>
    </w:pPr>
  </w:style>
  <w:style w:type="paragraph" w:customStyle="1" w:styleId="Remarque">
    <w:name w:val="Remarqu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840"/>
    </w:pPr>
    <w:rPr>
      <w:rFonts w:ascii="Arial Narrow" w:hAnsi="Arial Narrow" w:cs="Arial Narrow"/>
      <w:i/>
      <w:sz w:val="18"/>
    </w:rPr>
  </w:style>
  <w:style w:type="paragraph" w:customStyle="1" w:styleId="Encadr">
    <w:name w:val="Encadré"/>
    <w:basedOn w:val="Normal"/>
    <w:pPr>
      <w:widowControl w:val="0"/>
      <w:pBdr>
        <w:top w:val="single" w:sz="4" w:space="1" w:color="000000"/>
        <w:left w:val="single" w:sz="4" w:space="4" w:color="000000"/>
        <w:bottom w:val="single" w:sz="4" w:space="1" w:color="000000"/>
        <w:right w:val="single" w:sz="4" w:space="4" w:color="000000"/>
      </w:pBdr>
      <w:autoSpaceDE w:val="0"/>
      <w:spacing w:line="240" w:lineRule="auto"/>
      <w:ind w:left="1701" w:right="1689"/>
    </w:pPr>
    <w:rPr>
      <w:sz w:val="20"/>
    </w:rPr>
  </w:style>
  <w:style w:type="paragraph" w:customStyle="1" w:styleId="Grillecouleur-Accent11">
    <w:name w:val="Grille couleur - Accent 11"/>
    <w:basedOn w:val="Normal"/>
    <w:pPr>
      <w:spacing w:line="240" w:lineRule="auto"/>
      <w:ind w:left="1701" w:right="1700"/>
    </w:pPr>
    <w:rPr>
      <w:sz w:val="20"/>
    </w:rPr>
  </w:style>
  <w:style w:type="paragraph" w:styleId="Notedebasdepage">
    <w:name w:val="footnote text"/>
    <w:basedOn w:val="Normal"/>
    <w:pPr>
      <w:spacing w:line="240" w:lineRule="auto"/>
    </w:pPr>
    <w:rPr>
      <w:sz w:val="18"/>
    </w:rPr>
  </w:style>
  <w:style w:type="paragraph" w:customStyle="1" w:styleId="Jurisprudence">
    <w:name w:val="Jurisprudence"/>
    <w:basedOn w:val="Normal"/>
    <w:pPr>
      <w:spacing w:line="300" w:lineRule="atLeast"/>
      <w:ind w:left="709"/>
    </w:pPr>
    <w:rPr>
      <w:rFonts w:ascii="Times" w:hAnsi="Times" w:cs="Times"/>
      <w:b/>
      <w:sz w:val="22"/>
    </w:rPr>
  </w:style>
  <w:style w:type="paragraph" w:customStyle="1" w:styleId="REMARQUES">
    <w:name w:val="REMARQUES"/>
    <w:basedOn w:val="Normal"/>
    <w:pPr>
      <w:spacing w:line="240" w:lineRule="auto"/>
      <w:ind w:left="1134"/>
    </w:pPr>
    <w:rPr>
      <w:rFonts w:ascii="Arial Narrow" w:hAnsi="Arial Narrow" w:cs="Arial Narrow"/>
      <w:b/>
      <w:sz w:val="20"/>
    </w:rPr>
  </w:style>
  <w:style w:type="paragraph" w:styleId="Retraitcorpsdetexte">
    <w:name w:val="Body Text Indent"/>
    <w:basedOn w:val="Normal"/>
    <w:pPr>
      <w:widowControl w:val="0"/>
      <w:autoSpaceDE w:val="0"/>
      <w:jc w:val="center"/>
    </w:pPr>
    <w:rPr>
      <w:sz w:val="1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912032"/>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912032"/>
    <w:rPr>
      <w:rFonts w:ascii="Segoe UI" w:hAnsi="Segoe UI" w:cs="Segoe UI"/>
      <w:sz w:val="18"/>
      <w:szCs w:val="18"/>
      <w:lang w:eastAsia="ar-SA"/>
    </w:rPr>
  </w:style>
  <w:style w:type="paragraph" w:styleId="En-tte">
    <w:name w:val="header"/>
    <w:basedOn w:val="Normal"/>
    <w:link w:val="En-tteCar"/>
    <w:uiPriority w:val="99"/>
    <w:unhideWhenUsed/>
    <w:rsid w:val="002103DF"/>
    <w:pPr>
      <w:tabs>
        <w:tab w:val="center" w:pos="4536"/>
        <w:tab w:val="right" w:pos="9072"/>
      </w:tabs>
    </w:pPr>
  </w:style>
  <w:style w:type="character" w:customStyle="1" w:styleId="En-tteCar">
    <w:name w:val="En-tête Car"/>
    <w:link w:val="En-tte"/>
    <w:uiPriority w:val="99"/>
    <w:rsid w:val="002103DF"/>
    <w:rPr>
      <w:sz w:val="24"/>
      <w:lang w:eastAsia="ar-SA"/>
    </w:rPr>
  </w:style>
  <w:style w:type="paragraph" w:styleId="Pieddepage">
    <w:name w:val="footer"/>
    <w:basedOn w:val="Normal"/>
    <w:link w:val="PieddepageCar"/>
    <w:uiPriority w:val="99"/>
    <w:unhideWhenUsed/>
    <w:rsid w:val="002103DF"/>
    <w:pPr>
      <w:tabs>
        <w:tab w:val="center" w:pos="4536"/>
        <w:tab w:val="right" w:pos="9072"/>
      </w:tabs>
    </w:pPr>
  </w:style>
  <w:style w:type="character" w:customStyle="1" w:styleId="PieddepageCar">
    <w:name w:val="Pied de page Car"/>
    <w:link w:val="Pieddepage"/>
    <w:uiPriority w:val="99"/>
    <w:rsid w:val="002103DF"/>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A192D-0EB8-4091-90FE-A5E1C1B1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1648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Stage CGT FO – FPC</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CGT FO – FPC</dc:title>
  <dc:subject/>
  <dc:creator>Nicole MAGGI-GERMAIN</dc:creator>
  <cp:keywords/>
  <dc:description/>
  <cp:lastModifiedBy>Anastasios Grigorakis</cp:lastModifiedBy>
  <cp:revision>2</cp:revision>
  <cp:lastPrinted>2018-08-22T11:20:00Z</cp:lastPrinted>
  <dcterms:created xsi:type="dcterms:W3CDTF">2021-05-12T08:51:00Z</dcterms:created>
  <dcterms:modified xsi:type="dcterms:W3CDTF">2021-05-12T08:51:00Z</dcterms:modified>
</cp:coreProperties>
</file>