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0D40" w14:textId="77777777" w:rsidR="00125129" w:rsidRDefault="00125129" w:rsidP="007E1AF5">
      <w:pPr>
        <w:tabs>
          <w:tab w:val="left" w:pos="4536"/>
        </w:tabs>
        <w:ind w:right="566"/>
        <w:jc w:val="center"/>
      </w:pPr>
      <w:r>
        <w:rPr>
          <w:noProof/>
        </w:rPr>
        <w:drawing>
          <wp:inline distT="0" distB="0" distL="0" distR="0" wp14:anchorId="2C20C849" wp14:editId="00B054EA">
            <wp:extent cx="1387928" cy="779944"/>
            <wp:effectExtent l="0" t="0" r="317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7928" cy="77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D46B6" w14:textId="77777777" w:rsidR="00E44549" w:rsidRDefault="00E44549" w:rsidP="00E44549">
      <w:pPr>
        <w:jc w:val="center"/>
        <w:rPr>
          <w:b/>
          <w:sz w:val="28"/>
        </w:rPr>
      </w:pPr>
      <w:r w:rsidRPr="00E44549">
        <w:rPr>
          <w:b/>
          <w:sz w:val="28"/>
        </w:rPr>
        <w:t xml:space="preserve">Stage </w:t>
      </w:r>
      <w:r w:rsidR="00127A2E">
        <w:rPr>
          <w:b/>
          <w:sz w:val="28"/>
        </w:rPr>
        <w:t>conseillers prud’hommes CFE-CGC</w:t>
      </w:r>
    </w:p>
    <w:p w14:paraId="7E3E949F" w14:textId="587C8586" w:rsidR="00127A2E" w:rsidRDefault="00607290" w:rsidP="00E44549">
      <w:pPr>
        <w:jc w:val="center"/>
        <w:rPr>
          <w:b/>
          <w:sz w:val="28"/>
        </w:rPr>
      </w:pPr>
      <w:r>
        <w:rPr>
          <w:b/>
          <w:sz w:val="28"/>
        </w:rPr>
        <w:t>La relation de travail comportant une dimension internationale</w:t>
      </w:r>
    </w:p>
    <w:p w14:paraId="41D8962A" w14:textId="00BF5F42" w:rsidR="00125129" w:rsidRPr="00E44549" w:rsidRDefault="00607290" w:rsidP="00E44549">
      <w:pPr>
        <w:jc w:val="center"/>
        <w:rPr>
          <w:b/>
          <w:sz w:val="28"/>
        </w:rPr>
      </w:pPr>
      <w:r>
        <w:rPr>
          <w:b/>
          <w:sz w:val="28"/>
        </w:rPr>
        <w:t>Mardi 2</w:t>
      </w:r>
      <w:r w:rsidR="00127A2E">
        <w:rPr>
          <w:b/>
          <w:sz w:val="28"/>
        </w:rPr>
        <w:t xml:space="preserve">8 et </w:t>
      </w:r>
      <w:r>
        <w:rPr>
          <w:b/>
          <w:sz w:val="28"/>
        </w:rPr>
        <w:t>mercred</w:t>
      </w:r>
      <w:r w:rsidR="00127A2E">
        <w:rPr>
          <w:b/>
          <w:sz w:val="28"/>
        </w:rPr>
        <w:t xml:space="preserve">i </w:t>
      </w:r>
      <w:r>
        <w:rPr>
          <w:b/>
          <w:sz w:val="28"/>
        </w:rPr>
        <w:t>2</w:t>
      </w:r>
      <w:r w:rsidR="00127A2E">
        <w:rPr>
          <w:b/>
          <w:sz w:val="28"/>
        </w:rPr>
        <w:t>9</w:t>
      </w:r>
      <w:r>
        <w:rPr>
          <w:b/>
          <w:sz w:val="28"/>
        </w:rPr>
        <w:t xml:space="preserve"> novembre</w:t>
      </w:r>
      <w:r w:rsidR="00127A2E">
        <w:rPr>
          <w:b/>
          <w:sz w:val="28"/>
        </w:rPr>
        <w:t xml:space="preserve"> </w:t>
      </w:r>
      <w:r w:rsidR="00E44549">
        <w:rPr>
          <w:b/>
          <w:sz w:val="28"/>
        </w:rPr>
        <w:t>202</w:t>
      </w:r>
      <w:r>
        <w:rPr>
          <w:b/>
          <w:sz w:val="28"/>
        </w:rPr>
        <w:t>3</w:t>
      </w:r>
    </w:p>
    <w:p w14:paraId="2D05B395" w14:textId="52830415" w:rsidR="00E44549" w:rsidRPr="00E44549" w:rsidRDefault="00E44549" w:rsidP="00E44549">
      <w:pPr>
        <w:ind w:firstLine="0"/>
        <w:jc w:val="center"/>
        <w:rPr>
          <w:sz w:val="24"/>
        </w:rPr>
      </w:pPr>
      <w:r w:rsidRPr="00E44549">
        <w:rPr>
          <w:sz w:val="24"/>
        </w:rPr>
        <w:t>Responsable universitaire</w:t>
      </w:r>
      <w:r w:rsidR="00127A2E">
        <w:rPr>
          <w:sz w:val="24"/>
        </w:rPr>
        <w:t xml:space="preserve"> </w:t>
      </w:r>
      <w:r w:rsidRPr="00E44549">
        <w:rPr>
          <w:sz w:val="24"/>
        </w:rPr>
        <w:t>: Laetitia Driguez (</w:t>
      </w:r>
      <w:r w:rsidR="00607290">
        <w:rPr>
          <w:sz w:val="24"/>
        </w:rPr>
        <w:t>Université Paris 1-</w:t>
      </w:r>
      <w:r w:rsidRPr="00E44549">
        <w:rPr>
          <w:sz w:val="24"/>
        </w:rPr>
        <w:t>ISST) – Responsable syndical :</w:t>
      </w:r>
      <w:r w:rsidR="00127A2E">
        <w:rPr>
          <w:sz w:val="24"/>
        </w:rPr>
        <w:t xml:space="preserve"> Marc-Antoine </w:t>
      </w:r>
      <w:proofErr w:type="spellStart"/>
      <w:r w:rsidR="00127A2E">
        <w:rPr>
          <w:sz w:val="24"/>
        </w:rPr>
        <w:t>Marcantoni</w:t>
      </w:r>
      <w:proofErr w:type="spellEnd"/>
      <w:r w:rsidR="00127A2E">
        <w:rPr>
          <w:sz w:val="24"/>
        </w:rPr>
        <w:t xml:space="preserve"> (CFE-CGC</w:t>
      </w:r>
      <w:r w:rsidRPr="00E44549">
        <w:rPr>
          <w:sz w:val="24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678"/>
      </w:tblGrid>
      <w:tr w:rsidR="00127A2E" w14:paraId="0DE4DFB3" w14:textId="77777777" w:rsidTr="007E1AF5">
        <w:trPr>
          <w:jc w:val="center"/>
        </w:trPr>
        <w:tc>
          <w:tcPr>
            <w:tcW w:w="4531" w:type="dxa"/>
          </w:tcPr>
          <w:p w14:paraId="4EC72B4D" w14:textId="662260D9" w:rsidR="00127A2E" w:rsidRPr="00305DE9" w:rsidRDefault="00607290" w:rsidP="00127A2E">
            <w:pPr>
              <w:ind w:right="-65" w:firstLine="0"/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Mardi 2</w:t>
            </w:r>
            <w:r w:rsidR="00127A2E">
              <w:rPr>
                <w:b/>
                <w:sz w:val="24"/>
                <w:szCs w:val="32"/>
              </w:rPr>
              <w:t xml:space="preserve">8 </w:t>
            </w:r>
            <w:proofErr w:type="spellStart"/>
            <w:r>
              <w:rPr>
                <w:b/>
                <w:sz w:val="24"/>
                <w:szCs w:val="32"/>
              </w:rPr>
              <w:t>nov</w:t>
            </w:r>
            <w:proofErr w:type="spellEnd"/>
            <w:r w:rsidR="00127A2E" w:rsidRPr="00305DE9">
              <w:rPr>
                <w:b/>
                <w:sz w:val="24"/>
                <w:szCs w:val="32"/>
              </w:rPr>
              <w:t xml:space="preserve"> 202</w:t>
            </w:r>
            <w:r>
              <w:rPr>
                <w:b/>
                <w:sz w:val="24"/>
                <w:szCs w:val="32"/>
              </w:rPr>
              <w:t>3</w:t>
            </w:r>
          </w:p>
        </w:tc>
        <w:tc>
          <w:tcPr>
            <w:tcW w:w="4678" w:type="dxa"/>
          </w:tcPr>
          <w:p w14:paraId="49D51073" w14:textId="1CD42F25" w:rsidR="00127A2E" w:rsidRPr="00305DE9" w:rsidRDefault="00127A2E" w:rsidP="007E1AF5">
            <w:pPr>
              <w:ind w:left="176" w:right="-65" w:hanging="176"/>
              <w:jc w:val="center"/>
              <w:rPr>
                <w:b/>
                <w:sz w:val="24"/>
                <w:szCs w:val="32"/>
              </w:rPr>
            </w:pPr>
            <w:r w:rsidRPr="00305DE9">
              <w:rPr>
                <w:b/>
                <w:sz w:val="24"/>
                <w:szCs w:val="32"/>
              </w:rPr>
              <w:t>M</w:t>
            </w:r>
            <w:r w:rsidR="00607290">
              <w:rPr>
                <w:b/>
                <w:sz w:val="24"/>
                <w:szCs w:val="32"/>
              </w:rPr>
              <w:t xml:space="preserve">ercredi 29 </w:t>
            </w:r>
            <w:proofErr w:type="spellStart"/>
            <w:r w:rsidR="00607290">
              <w:rPr>
                <w:b/>
                <w:sz w:val="24"/>
                <w:szCs w:val="32"/>
              </w:rPr>
              <w:t>nov</w:t>
            </w:r>
            <w:proofErr w:type="spellEnd"/>
            <w:r w:rsidR="00607290">
              <w:rPr>
                <w:b/>
                <w:sz w:val="24"/>
                <w:szCs w:val="32"/>
              </w:rPr>
              <w:t xml:space="preserve"> </w:t>
            </w:r>
            <w:r w:rsidRPr="00305DE9">
              <w:rPr>
                <w:b/>
                <w:sz w:val="24"/>
                <w:szCs w:val="32"/>
              </w:rPr>
              <w:t>202</w:t>
            </w:r>
            <w:r w:rsidR="00607290">
              <w:rPr>
                <w:b/>
                <w:sz w:val="24"/>
                <w:szCs w:val="32"/>
              </w:rPr>
              <w:t>3</w:t>
            </w:r>
          </w:p>
        </w:tc>
      </w:tr>
      <w:tr w:rsidR="00127A2E" w14:paraId="1C48A13D" w14:textId="77777777" w:rsidTr="007E1AF5">
        <w:trPr>
          <w:jc w:val="center"/>
        </w:trPr>
        <w:tc>
          <w:tcPr>
            <w:tcW w:w="4531" w:type="dxa"/>
          </w:tcPr>
          <w:p w14:paraId="20669A4A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9h</w:t>
            </w:r>
          </w:p>
          <w:p w14:paraId="1B39CE92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Accueil des stagiaires et présentations</w:t>
            </w:r>
          </w:p>
          <w:p w14:paraId="13B667AC" w14:textId="77777777" w:rsidR="00127A2E" w:rsidRDefault="00127A2E" w:rsidP="007E1AF5">
            <w:pPr>
              <w:ind w:left="174" w:right="-65" w:firstLine="32"/>
              <w:jc w:val="center"/>
              <w:rPr>
                <w:sz w:val="24"/>
                <w:szCs w:val="32"/>
              </w:rPr>
            </w:pPr>
          </w:p>
          <w:p w14:paraId="57B3E08A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10h</w:t>
            </w:r>
          </w:p>
          <w:p w14:paraId="396C8879" w14:textId="7730D7C0" w:rsidR="00127A2E" w:rsidRDefault="00607290" w:rsidP="00127A2E">
            <w:pPr>
              <w:ind w:right="-65" w:firstLine="0"/>
              <w:jc w:val="center"/>
              <w:rPr>
                <w:iCs/>
                <w:sz w:val="24"/>
                <w:szCs w:val="32"/>
              </w:rPr>
            </w:pPr>
            <w:r w:rsidRPr="00607290">
              <w:rPr>
                <w:iCs/>
                <w:sz w:val="24"/>
                <w:szCs w:val="32"/>
              </w:rPr>
              <w:t>La compétence territoriale du CPH en cas de relation de travail incluant une dimension internationale</w:t>
            </w:r>
          </w:p>
          <w:p w14:paraId="27D1E1EE" w14:textId="77777777" w:rsidR="00607290" w:rsidRPr="00607290" w:rsidRDefault="00607290" w:rsidP="00127A2E">
            <w:pPr>
              <w:ind w:right="-65" w:firstLine="0"/>
              <w:jc w:val="center"/>
              <w:rPr>
                <w:iCs/>
                <w:sz w:val="24"/>
                <w:szCs w:val="32"/>
              </w:rPr>
            </w:pPr>
          </w:p>
          <w:p w14:paraId="4DE29C8B" w14:textId="747F2FD4" w:rsidR="00607290" w:rsidRDefault="00127A2E" w:rsidP="00607290">
            <w:pPr>
              <w:ind w:right="-65" w:firstLine="0"/>
              <w:jc w:val="center"/>
              <w:rPr>
                <w:i/>
                <w:sz w:val="24"/>
                <w:szCs w:val="32"/>
              </w:rPr>
            </w:pPr>
            <w:r w:rsidRPr="00127A2E">
              <w:rPr>
                <w:i/>
                <w:sz w:val="24"/>
                <w:szCs w:val="32"/>
              </w:rPr>
              <w:t>Laetitia Driguez</w:t>
            </w:r>
          </w:p>
          <w:p w14:paraId="3DFF92C3" w14:textId="77777777" w:rsidR="00127A2E" w:rsidRPr="00127A2E" w:rsidRDefault="00127A2E" w:rsidP="00127A2E">
            <w:pPr>
              <w:ind w:right="-65" w:firstLine="0"/>
              <w:jc w:val="center"/>
              <w:rPr>
                <w:i/>
                <w:sz w:val="24"/>
                <w:szCs w:val="32"/>
              </w:rPr>
            </w:pPr>
            <w:r>
              <w:rPr>
                <w:i/>
                <w:sz w:val="24"/>
                <w:szCs w:val="32"/>
              </w:rPr>
              <w:t>(ISST)</w:t>
            </w:r>
          </w:p>
          <w:p w14:paraId="10AE2945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0471FB29" w14:textId="77777777" w:rsidR="00127A2E" w:rsidRPr="00E44549" w:rsidRDefault="00127A2E" w:rsidP="009552DB">
            <w:pPr>
              <w:ind w:right="-65" w:firstLine="0"/>
              <w:jc w:val="center"/>
              <w:rPr>
                <w:sz w:val="24"/>
                <w:szCs w:val="32"/>
              </w:rPr>
            </w:pPr>
          </w:p>
        </w:tc>
        <w:tc>
          <w:tcPr>
            <w:tcW w:w="4678" w:type="dxa"/>
          </w:tcPr>
          <w:p w14:paraId="23BD0520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9h</w:t>
            </w:r>
          </w:p>
          <w:p w14:paraId="257A5D11" w14:textId="77777777" w:rsidR="003A4198" w:rsidRDefault="003A4198" w:rsidP="003A4198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5AFC325F" w14:textId="77777777" w:rsidR="00D2737E" w:rsidRDefault="00D2737E" w:rsidP="003A4198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18254F30" w14:textId="0297C622" w:rsidR="003A4198" w:rsidRDefault="00D2737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Cas pratiques</w:t>
            </w:r>
            <w:r w:rsidR="00607290">
              <w:rPr>
                <w:sz w:val="24"/>
                <w:szCs w:val="32"/>
              </w:rPr>
              <w:t xml:space="preserve"> sur la compétence juridictionnelle et la loi applicable</w:t>
            </w:r>
          </w:p>
          <w:p w14:paraId="6A5BB4C2" w14:textId="77777777" w:rsidR="00D2737E" w:rsidRDefault="00D2737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5B326BE3" w14:textId="77777777" w:rsidR="00127A2E" w:rsidRPr="00305DE9" w:rsidRDefault="00127A2E" w:rsidP="00127A2E">
            <w:pPr>
              <w:ind w:right="-65" w:firstLine="0"/>
              <w:jc w:val="center"/>
              <w:rPr>
                <w:i/>
                <w:sz w:val="24"/>
                <w:szCs w:val="32"/>
              </w:rPr>
            </w:pPr>
            <w:r w:rsidRPr="00305DE9">
              <w:rPr>
                <w:i/>
                <w:sz w:val="24"/>
                <w:szCs w:val="32"/>
              </w:rPr>
              <w:t>Laetitia Driguez</w:t>
            </w:r>
          </w:p>
          <w:p w14:paraId="3861D582" w14:textId="77777777" w:rsidR="00127A2E" w:rsidRPr="0071756D" w:rsidRDefault="00127A2E" w:rsidP="00127A2E">
            <w:pPr>
              <w:ind w:right="-65" w:firstLine="0"/>
              <w:jc w:val="center"/>
              <w:rPr>
                <w:i/>
                <w:sz w:val="24"/>
                <w:szCs w:val="32"/>
              </w:rPr>
            </w:pPr>
            <w:r w:rsidRPr="0071756D">
              <w:rPr>
                <w:i/>
                <w:sz w:val="24"/>
                <w:szCs w:val="32"/>
              </w:rPr>
              <w:t>(ISST)</w:t>
            </w:r>
          </w:p>
        </w:tc>
      </w:tr>
      <w:tr w:rsidR="00127A2E" w14:paraId="4EF462BA" w14:textId="77777777" w:rsidTr="007E1AF5">
        <w:trPr>
          <w:jc w:val="center"/>
        </w:trPr>
        <w:tc>
          <w:tcPr>
            <w:tcW w:w="4531" w:type="dxa"/>
          </w:tcPr>
          <w:p w14:paraId="295E5FCD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14h</w:t>
            </w:r>
          </w:p>
          <w:p w14:paraId="248E0F9E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28E7E8FF" w14:textId="41BA9EE4" w:rsidR="00127A2E" w:rsidRDefault="00607290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Quelle loi appliquer en cas de relation de travail comportant une dimension internationale ?</w:t>
            </w:r>
          </w:p>
          <w:p w14:paraId="2F6E613A" w14:textId="77777777" w:rsidR="00607290" w:rsidRDefault="00607290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63E256D3" w14:textId="77777777" w:rsidR="00127A2E" w:rsidRPr="009552DB" w:rsidRDefault="00127A2E" w:rsidP="00127A2E">
            <w:pPr>
              <w:ind w:right="-65" w:firstLine="0"/>
              <w:jc w:val="center"/>
              <w:rPr>
                <w:i/>
                <w:sz w:val="24"/>
                <w:szCs w:val="32"/>
              </w:rPr>
            </w:pPr>
            <w:r w:rsidRPr="009552DB">
              <w:rPr>
                <w:i/>
                <w:sz w:val="24"/>
                <w:szCs w:val="32"/>
              </w:rPr>
              <w:t>Laetitia Driguez</w:t>
            </w:r>
          </w:p>
          <w:p w14:paraId="7D29D4D5" w14:textId="77777777" w:rsidR="00127A2E" w:rsidRPr="009552DB" w:rsidRDefault="00127A2E" w:rsidP="00127A2E">
            <w:pPr>
              <w:ind w:right="-65" w:firstLine="0"/>
              <w:jc w:val="center"/>
              <w:rPr>
                <w:i/>
                <w:sz w:val="24"/>
                <w:szCs w:val="32"/>
              </w:rPr>
            </w:pPr>
            <w:r w:rsidRPr="009552DB">
              <w:rPr>
                <w:i/>
                <w:sz w:val="24"/>
                <w:szCs w:val="32"/>
              </w:rPr>
              <w:t>(ISST)</w:t>
            </w:r>
          </w:p>
          <w:p w14:paraId="48D6FD11" w14:textId="77777777" w:rsidR="00127A2E" w:rsidRPr="009552DB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7AB76198" w14:textId="77777777" w:rsidR="009552DB" w:rsidRDefault="009552DB" w:rsidP="00127A2E">
            <w:pPr>
              <w:ind w:right="-65" w:firstLine="0"/>
              <w:jc w:val="center"/>
              <w:rPr>
                <w:sz w:val="24"/>
                <w:szCs w:val="32"/>
                <w:lang w:val="en-GB"/>
              </w:rPr>
            </w:pPr>
          </w:p>
          <w:p w14:paraId="6827FE0D" w14:textId="77777777" w:rsidR="009552DB" w:rsidRDefault="009552DB" w:rsidP="00127A2E">
            <w:pPr>
              <w:ind w:right="-65" w:firstLine="0"/>
              <w:jc w:val="center"/>
              <w:rPr>
                <w:sz w:val="24"/>
                <w:szCs w:val="32"/>
                <w:lang w:val="en-GB"/>
              </w:rPr>
            </w:pPr>
          </w:p>
          <w:p w14:paraId="614A200C" w14:textId="77777777" w:rsidR="000612F8" w:rsidRDefault="000612F8" w:rsidP="00127A2E">
            <w:pPr>
              <w:ind w:right="-65" w:firstLine="0"/>
              <w:jc w:val="center"/>
              <w:rPr>
                <w:sz w:val="24"/>
                <w:szCs w:val="32"/>
                <w:lang w:val="en-GB"/>
              </w:rPr>
            </w:pPr>
          </w:p>
          <w:p w14:paraId="73BC58B4" w14:textId="77777777" w:rsidR="00127A2E" w:rsidRPr="00127A2E" w:rsidRDefault="00127A2E" w:rsidP="00127A2E">
            <w:pPr>
              <w:ind w:right="-65" w:firstLine="0"/>
              <w:jc w:val="center"/>
              <w:rPr>
                <w:sz w:val="24"/>
                <w:szCs w:val="32"/>
                <w:lang w:val="en-GB"/>
              </w:rPr>
            </w:pPr>
            <w:r w:rsidRPr="00127A2E">
              <w:rPr>
                <w:sz w:val="24"/>
                <w:szCs w:val="32"/>
                <w:lang w:val="en-GB"/>
              </w:rPr>
              <w:t>Fin 17 h/ 17h30</w:t>
            </w:r>
          </w:p>
          <w:p w14:paraId="1BA3E442" w14:textId="77777777" w:rsidR="00127A2E" w:rsidRPr="00127A2E" w:rsidRDefault="00127A2E" w:rsidP="00127A2E">
            <w:pPr>
              <w:ind w:right="-65" w:firstLine="0"/>
              <w:jc w:val="center"/>
              <w:rPr>
                <w:sz w:val="24"/>
                <w:szCs w:val="32"/>
                <w:lang w:val="en-GB"/>
              </w:rPr>
            </w:pPr>
          </w:p>
        </w:tc>
        <w:tc>
          <w:tcPr>
            <w:tcW w:w="4678" w:type="dxa"/>
          </w:tcPr>
          <w:p w14:paraId="79787CFB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14h</w:t>
            </w:r>
          </w:p>
          <w:p w14:paraId="1E5FB48D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589E595E" w14:textId="1398C2D2" w:rsidR="00127A2E" w:rsidRDefault="009552DB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Le retour du salarié expatrié dans l’entreprise</w:t>
            </w:r>
          </w:p>
          <w:p w14:paraId="4DD74450" w14:textId="77777777" w:rsidR="00127A2E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566490BF" w14:textId="77777777" w:rsidR="009552DB" w:rsidRPr="009552DB" w:rsidRDefault="009552DB" w:rsidP="009552DB">
            <w:pPr>
              <w:ind w:right="-65" w:firstLine="0"/>
              <w:jc w:val="center"/>
              <w:rPr>
                <w:i/>
                <w:sz w:val="24"/>
                <w:szCs w:val="32"/>
              </w:rPr>
            </w:pPr>
            <w:r w:rsidRPr="009552DB">
              <w:rPr>
                <w:i/>
                <w:sz w:val="24"/>
                <w:szCs w:val="32"/>
              </w:rPr>
              <w:t>Laetitia Driguez</w:t>
            </w:r>
          </w:p>
          <w:p w14:paraId="6B11C780" w14:textId="77777777" w:rsidR="009552DB" w:rsidRPr="009552DB" w:rsidRDefault="009552DB" w:rsidP="009552DB">
            <w:pPr>
              <w:ind w:right="-65" w:firstLine="0"/>
              <w:jc w:val="center"/>
              <w:rPr>
                <w:i/>
                <w:sz w:val="24"/>
                <w:szCs w:val="32"/>
              </w:rPr>
            </w:pPr>
            <w:r w:rsidRPr="009552DB">
              <w:rPr>
                <w:i/>
                <w:sz w:val="24"/>
                <w:szCs w:val="32"/>
              </w:rPr>
              <w:t>(ISST)</w:t>
            </w:r>
          </w:p>
          <w:p w14:paraId="241F6AB8" w14:textId="77777777" w:rsidR="00127A2E" w:rsidRDefault="00127A2E" w:rsidP="009552DB">
            <w:pPr>
              <w:ind w:right="-65" w:firstLine="0"/>
              <w:rPr>
                <w:sz w:val="24"/>
                <w:szCs w:val="32"/>
              </w:rPr>
            </w:pPr>
          </w:p>
          <w:p w14:paraId="644DDA00" w14:textId="77777777" w:rsidR="009552DB" w:rsidRDefault="009552DB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D2737E">
              <w:rPr>
                <w:sz w:val="24"/>
                <w:szCs w:val="32"/>
              </w:rPr>
              <w:t>6</w:t>
            </w:r>
            <w:r>
              <w:rPr>
                <w:sz w:val="24"/>
                <w:szCs w:val="32"/>
              </w:rPr>
              <w:t>h</w:t>
            </w:r>
          </w:p>
          <w:p w14:paraId="19B124F1" w14:textId="77777777" w:rsidR="009552DB" w:rsidRDefault="009552DB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Bilan du stage</w:t>
            </w:r>
          </w:p>
          <w:p w14:paraId="3BE2FD74" w14:textId="77777777" w:rsidR="009552DB" w:rsidRDefault="009552DB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</w:p>
          <w:p w14:paraId="0E22250F" w14:textId="77777777" w:rsidR="00127A2E" w:rsidRPr="00E44549" w:rsidRDefault="00127A2E" w:rsidP="00127A2E">
            <w:pPr>
              <w:ind w:right="-65" w:firstLine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Fin 17 h</w:t>
            </w:r>
          </w:p>
        </w:tc>
      </w:tr>
    </w:tbl>
    <w:p w14:paraId="107C4ED8" w14:textId="77777777" w:rsidR="00F27934" w:rsidRDefault="00F27934" w:rsidP="00305DE9">
      <w:pPr>
        <w:tabs>
          <w:tab w:val="left" w:pos="7620"/>
        </w:tabs>
        <w:ind w:firstLine="0"/>
      </w:pPr>
    </w:p>
    <w:p w14:paraId="0BE95CB5" w14:textId="2DDB7F2F" w:rsidR="00266E87" w:rsidRDefault="00266E87" w:rsidP="007E1AF5">
      <w:pPr>
        <w:tabs>
          <w:tab w:val="left" w:pos="7620"/>
        </w:tabs>
        <w:ind w:firstLine="0"/>
        <w:jc w:val="both"/>
      </w:pPr>
      <w:r w:rsidRPr="00266E87">
        <w:rPr>
          <w:b/>
        </w:rPr>
        <w:t>Présentation</w:t>
      </w:r>
      <w:r>
        <w:t xml:space="preserve"> : </w:t>
      </w:r>
      <w:r w:rsidR="004332D3">
        <w:t xml:space="preserve">Cette </w:t>
      </w:r>
      <w:r>
        <w:t xml:space="preserve">formation </w:t>
      </w:r>
      <w:r w:rsidR="004332D3">
        <w:t xml:space="preserve">conçue pour des </w:t>
      </w:r>
      <w:r>
        <w:t>conseillers prud’hommes est consacrée au droit international du travail. Elle</w:t>
      </w:r>
      <w:r w:rsidR="004332D3">
        <w:t xml:space="preserve"> a pour objectif de leur donner </w:t>
      </w:r>
      <w:r>
        <w:t xml:space="preserve">les connaissances </w:t>
      </w:r>
      <w:r w:rsidR="004332D3">
        <w:t xml:space="preserve">nécessaires à l’appréhension contentieuse </w:t>
      </w:r>
      <w:r>
        <w:t>des situations de travail qui comportent une dimension internationale, que le travail soit exécuté à l’étranger, au sein de l’Union européenne ou au-delà, de façon temporaire ou régulière</w:t>
      </w:r>
      <w:r w:rsidR="004332D3">
        <w:t xml:space="preserve"> ou encore </w:t>
      </w:r>
      <w:r>
        <w:t xml:space="preserve">qu’il soit exécuté en France mais dans le cadre d’un contrat conclu à l’étranger, avec un employeur établi </w:t>
      </w:r>
      <w:r w:rsidR="00607290">
        <w:t xml:space="preserve">parfois </w:t>
      </w:r>
      <w:r>
        <w:t xml:space="preserve">lui-même à l’étranger…. Ces éléments d’extranéité constituent autant de difficultés juridiques qu’il faut pourtant lever afin de trancher le litige. </w:t>
      </w:r>
      <w:r w:rsidRPr="004332D3">
        <w:rPr>
          <w:u w:val="single"/>
        </w:rPr>
        <w:t>Trois questions centrales seront abordées</w:t>
      </w:r>
      <w:r>
        <w:t> :</w:t>
      </w:r>
      <w:r w:rsidR="004332D3">
        <w:t xml:space="preserve"> 1)</w:t>
      </w:r>
      <w:r>
        <w:t xml:space="preserve"> </w:t>
      </w:r>
      <w:r w:rsidR="004332D3">
        <w:t>L</w:t>
      </w:r>
      <w:r>
        <w:t xml:space="preserve">e conseil de prud’homme est-il compétent ? </w:t>
      </w:r>
      <w:r w:rsidR="004332D3">
        <w:t xml:space="preserve">2) </w:t>
      </w:r>
      <w:r>
        <w:t xml:space="preserve">Si oui, quelle loi est applicable au contrat de travail qui lui est soumis ? </w:t>
      </w:r>
      <w:r w:rsidR="004332D3">
        <w:t xml:space="preserve">3) Quels </w:t>
      </w:r>
      <w:r>
        <w:t>litiges p</w:t>
      </w:r>
      <w:r w:rsidR="004332D3">
        <w:t>e</w:t>
      </w:r>
      <w:r>
        <w:t>uv</w:t>
      </w:r>
      <w:r w:rsidR="004332D3">
        <w:t xml:space="preserve">ent </w:t>
      </w:r>
      <w:r>
        <w:t>s’élever à l’occasion du retour du salarié dans l’entreprise</w:t>
      </w:r>
      <w:r w:rsidR="004332D3">
        <w:t xml:space="preserve"> et comment les traiter ?</w:t>
      </w:r>
    </w:p>
    <w:p w14:paraId="129653FD" w14:textId="506ABD3A" w:rsidR="00266E87" w:rsidRPr="00125129" w:rsidRDefault="00266E87" w:rsidP="007E1AF5">
      <w:pPr>
        <w:tabs>
          <w:tab w:val="left" w:pos="7620"/>
        </w:tabs>
        <w:ind w:firstLine="0"/>
        <w:jc w:val="both"/>
      </w:pPr>
      <w:r>
        <w:t xml:space="preserve">Le cours sera </w:t>
      </w:r>
      <w:r w:rsidR="004332D3">
        <w:t xml:space="preserve">illustré d’exemples </w:t>
      </w:r>
      <w:r w:rsidR="0098654D">
        <w:t xml:space="preserve">jurisprudentiels </w:t>
      </w:r>
      <w:r w:rsidR="00607290">
        <w:t>et des travaux de groupe autour de petits cas pratiques permettront aux stagiaires de s’approprier les règles en situation concrète.</w:t>
      </w:r>
    </w:p>
    <w:sectPr w:rsidR="00266E87" w:rsidRPr="00125129" w:rsidSect="00B7413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5081" w14:textId="77777777" w:rsidR="0018210F" w:rsidRDefault="0018210F" w:rsidP="00305DE9">
      <w:pPr>
        <w:spacing w:after="0" w:line="240" w:lineRule="auto"/>
      </w:pPr>
      <w:r>
        <w:separator/>
      </w:r>
    </w:p>
  </w:endnote>
  <w:endnote w:type="continuationSeparator" w:id="0">
    <w:p w14:paraId="7437BED7" w14:textId="77777777" w:rsidR="0018210F" w:rsidRDefault="0018210F" w:rsidP="0030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6C78" w14:textId="77777777" w:rsidR="0018210F" w:rsidRDefault="0018210F" w:rsidP="00305DE9">
      <w:pPr>
        <w:spacing w:after="0" w:line="240" w:lineRule="auto"/>
      </w:pPr>
      <w:r>
        <w:separator/>
      </w:r>
    </w:p>
  </w:footnote>
  <w:footnote w:type="continuationSeparator" w:id="0">
    <w:p w14:paraId="2EF15EBA" w14:textId="77777777" w:rsidR="0018210F" w:rsidRDefault="0018210F" w:rsidP="00305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29"/>
    <w:rsid w:val="000612F8"/>
    <w:rsid w:val="00125129"/>
    <w:rsid w:val="00127A2E"/>
    <w:rsid w:val="0018210F"/>
    <w:rsid w:val="00266E87"/>
    <w:rsid w:val="00275A91"/>
    <w:rsid w:val="00305DE9"/>
    <w:rsid w:val="003A4198"/>
    <w:rsid w:val="00430CC9"/>
    <w:rsid w:val="004332D3"/>
    <w:rsid w:val="0050322C"/>
    <w:rsid w:val="00567266"/>
    <w:rsid w:val="00607290"/>
    <w:rsid w:val="0071756D"/>
    <w:rsid w:val="00761CC3"/>
    <w:rsid w:val="007A300B"/>
    <w:rsid w:val="007E1AF5"/>
    <w:rsid w:val="008A28DC"/>
    <w:rsid w:val="009552DB"/>
    <w:rsid w:val="0098654D"/>
    <w:rsid w:val="00B7413A"/>
    <w:rsid w:val="00D13055"/>
    <w:rsid w:val="00D2737E"/>
    <w:rsid w:val="00D76C12"/>
    <w:rsid w:val="00DD27D2"/>
    <w:rsid w:val="00E44549"/>
    <w:rsid w:val="00E53B19"/>
    <w:rsid w:val="00F20C6B"/>
    <w:rsid w:val="00F2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A651"/>
  <w15:chartTrackingRefBased/>
  <w15:docId w15:val="{74E36198-84AB-43E2-8F28-DF08A59E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66"/>
    <w:pPr>
      <w:ind w:firstLine="567"/>
    </w:pPr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0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5DE9"/>
    <w:rPr>
      <w:rFonts w:ascii="Garamond" w:hAnsi="Garamond"/>
    </w:rPr>
  </w:style>
  <w:style w:type="paragraph" w:styleId="Pieddepage">
    <w:name w:val="footer"/>
    <w:basedOn w:val="Normal"/>
    <w:link w:val="PieddepageCar"/>
    <w:uiPriority w:val="99"/>
    <w:unhideWhenUsed/>
    <w:rsid w:val="0030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5DE9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Driguez</dc:creator>
  <cp:keywords/>
  <dc:description/>
  <cp:lastModifiedBy>Laetitia Driguez</cp:lastModifiedBy>
  <cp:revision>3</cp:revision>
  <dcterms:created xsi:type="dcterms:W3CDTF">2023-10-05T08:42:00Z</dcterms:created>
  <dcterms:modified xsi:type="dcterms:W3CDTF">2023-10-05T08:52:00Z</dcterms:modified>
</cp:coreProperties>
</file>