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E7E37" w14:textId="77777777" w:rsidR="00285BC9" w:rsidRDefault="00285BC9" w:rsidP="00285BC9">
      <w:pPr>
        <w:pStyle w:val="Sansinterligne"/>
        <w:jc w:val="center"/>
        <w:rPr>
          <w:sz w:val="32"/>
          <w:szCs w:val="32"/>
        </w:rPr>
      </w:pPr>
      <w:r>
        <w:rPr>
          <w:noProof/>
          <w:lang w:eastAsia="fr-FR"/>
        </w:rPr>
        <w:drawing>
          <wp:inline distT="0" distB="0" distL="0" distR="0" wp14:anchorId="5CBA8185" wp14:editId="7A07B629">
            <wp:extent cx="1828800" cy="780687"/>
            <wp:effectExtent l="0" t="0" r="0" b="635"/>
            <wp:docPr id="1" name="Image 1" descr="Résultat de recherche d'images pour &quot;logo Université Paris 1 IS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Université Paris 1 ISST&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0075" cy="781231"/>
                    </a:xfrm>
                    <a:prstGeom prst="rect">
                      <a:avLst/>
                    </a:prstGeom>
                    <a:noFill/>
                    <a:ln>
                      <a:noFill/>
                    </a:ln>
                  </pic:spPr>
                </pic:pic>
              </a:graphicData>
            </a:graphic>
          </wp:inline>
        </w:drawing>
      </w:r>
    </w:p>
    <w:p w14:paraId="284CE637" w14:textId="77777777" w:rsidR="00285BC9" w:rsidRDefault="00285BC9" w:rsidP="00285BC9">
      <w:pPr>
        <w:pStyle w:val="Sansinterligne"/>
        <w:jc w:val="center"/>
      </w:pPr>
    </w:p>
    <w:p w14:paraId="292892DD" w14:textId="77777777" w:rsidR="00285BC9" w:rsidRDefault="00285BC9" w:rsidP="00285BC9">
      <w:pPr>
        <w:pStyle w:val="Sansinterligne"/>
        <w:jc w:val="center"/>
      </w:pPr>
    </w:p>
    <w:p w14:paraId="1496FBAF" w14:textId="77777777" w:rsidR="00285BC9" w:rsidRPr="009E4592" w:rsidRDefault="00285BC9" w:rsidP="00285BC9">
      <w:pPr>
        <w:pStyle w:val="Sansinterligne"/>
        <w:jc w:val="center"/>
        <w:rPr>
          <w:b/>
          <w:sz w:val="36"/>
          <w:szCs w:val="28"/>
        </w:rPr>
      </w:pPr>
      <w:r>
        <w:rPr>
          <w:b/>
          <w:sz w:val="36"/>
          <w:szCs w:val="28"/>
        </w:rPr>
        <w:t>Formation prud’homale –</w:t>
      </w:r>
      <w:r w:rsidRPr="009E4592">
        <w:rPr>
          <w:b/>
          <w:sz w:val="36"/>
          <w:szCs w:val="28"/>
        </w:rPr>
        <w:t xml:space="preserve"> </w:t>
      </w:r>
      <w:r>
        <w:rPr>
          <w:b/>
          <w:sz w:val="36"/>
          <w:szCs w:val="28"/>
        </w:rPr>
        <w:t>L’inaptitude</w:t>
      </w:r>
      <w:r w:rsidRPr="009E4592">
        <w:rPr>
          <w:b/>
          <w:sz w:val="36"/>
          <w:szCs w:val="28"/>
        </w:rPr>
        <w:t xml:space="preserve"> en droit du travail</w:t>
      </w:r>
    </w:p>
    <w:p w14:paraId="7F42226A" w14:textId="77777777" w:rsidR="00285BC9" w:rsidRDefault="00285BC9" w:rsidP="00285BC9">
      <w:pPr>
        <w:pStyle w:val="Sansinterligne"/>
        <w:jc w:val="center"/>
        <w:rPr>
          <w:sz w:val="24"/>
        </w:rPr>
      </w:pPr>
    </w:p>
    <w:p w14:paraId="272F4567" w14:textId="77777777" w:rsidR="00285BC9" w:rsidRDefault="00285BC9" w:rsidP="00285BC9">
      <w:pPr>
        <w:pStyle w:val="Sansinterligne"/>
        <w:jc w:val="center"/>
        <w:rPr>
          <w:sz w:val="24"/>
        </w:rPr>
      </w:pPr>
      <w:r>
        <w:rPr>
          <w:sz w:val="24"/>
        </w:rPr>
        <w:t>2 et 3 juin 2025</w:t>
      </w:r>
    </w:p>
    <w:p w14:paraId="5B8654DC" w14:textId="77777777" w:rsidR="00285BC9" w:rsidRPr="006472BD" w:rsidRDefault="00285BC9" w:rsidP="00285BC9">
      <w:pPr>
        <w:spacing w:after="0" w:line="240" w:lineRule="auto"/>
        <w:jc w:val="center"/>
        <w:rPr>
          <w:rFonts w:ascii="Gill Sans MT" w:eastAsia="Times New Roman" w:hAnsi="Gill Sans MT" w:cs="Times New Roman"/>
          <w:sz w:val="24"/>
          <w:szCs w:val="24"/>
          <w:lang w:eastAsia="fr-FR"/>
        </w:rPr>
      </w:pPr>
      <w:r w:rsidRPr="006472BD">
        <w:rPr>
          <w:rFonts w:ascii="Gill Sans MT" w:eastAsia="Times New Roman" w:hAnsi="Gill Sans MT" w:cs="Times New Roman"/>
          <w:sz w:val="24"/>
          <w:szCs w:val="24"/>
          <w:lang w:eastAsia="fr-FR"/>
        </w:rPr>
        <w:t xml:space="preserve">Coordinateurs et animateurs du stage : </w:t>
      </w:r>
      <w:r>
        <w:rPr>
          <w:rFonts w:ascii="Gill Sans MT" w:eastAsia="Times New Roman" w:hAnsi="Gill Sans MT" w:cs="Times New Roman"/>
          <w:sz w:val="24"/>
          <w:szCs w:val="24"/>
          <w:lang w:eastAsia="fr-FR"/>
        </w:rPr>
        <w:t>Maud Rivolier</w:t>
      </w:r>
      <w:r w:rsidRPr="006472BD">
        <w:rPr>
          <w:rFonts w:ascii="Gill Sans MT" w:eastAsia="Times New Roman" w:hAnsi="Gill Sans MT" w:cs="Times New Roman"/>
          <w:sz w:val="24"/>
          <w:szCs w:val="24"/>
          <w:lang w:eastAsia="fr-FR"/>
        </w:rPr>
        <w:t xml:space="preserve"> (ISST) Marc-Antoine </w:t>
      </w:r>
      <w:proofErr w:type="spellStart"/>
      <w:r w:rsidRPr="006472BD">
        <w:rPr>
          <w:rFonts w:ascii="Gill Sans MT" w:eastAsia="Times New Roman" w:hAnsi="Gill Sans MT" w:cs="Times New Roman"/>
          <w:sz w:val="24"/>
          <w:szCs w:val="24"/>
          <w:lang w:eastAsia="fr-FR"/>
        </w:rPr>
        <w:t>Marcantoni</w:t>
      </w:r>
      <w:proofErr w:type="spellEnd"/>
      <w:r w:rsidRPr="006472BD">
        <w:rPr>
          <w:rFonts w:ascii="Gill Sans MT" w:eastAsia="Times New Roman" w:hAnsi="Gill Sans MT" w:cs="Times New Roman"/>
          <w:sz w:val="24"/>
          <w:szCs w:val="24"/>
          <w:lang w:eastAsia="fr-FR"/>
        </w:rPr>
        <w:t xml:space="preserve"> (CFE-CGC) </w:t>
      </w:r>
    </w:p>
    <w:p w14:paraId="4B7270F6" w14:textId="77777777" w:rsidR="00285BC9" w:rsidRPr="00507FA9" w:rsidRDefault="00285BC9" w:rsidP="00285BC9">
      <w:pPr>
        <w:pStyle w:val="Sansinterligne"/>
        <w:jc w:val="center"/>
        <w:rPr>
          <w:sz w:val="24"/>
        </w:rPr>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26"/>
        <w:gridCol w:w="4516"/>
      </w:tblGrid>
      <w:tr w:rsidR="00285BC9" w:rsidRPr="00507FA9" w14:paraId="2357FA04" w14:textId="77777777" w:rsidTr="0085178E">
        <w:trPr>
          <w:trHeight w:val="397"/>
        </w:trPr>
        <w:tc>
          <w:tcPr>
            <w:tcW w:w="4606" w:type="dxa"/>
            <w:vAlign w:val="center"/>
          </w:tcPr>
          <w:p w14:paraId="00645C92" w14:textId="77777777" w:rsidR="00285BC9" w:rsidRPr="00D72594" w:rsidRDefault="00285BC9" w:rsidP="0085178E">
            <w:pPr>
              <w:pStyle w:val="Sansinterligne"/>
              <w:jc w:val="center"/>
              <w:rPr>
                <w:b/>
                <w:bCs/>
                <w:sz w:val="24"/>
              </w:rPr>
            </w:pPr>
            <w:r>
              <w:rPr>
                <w:b/>
                <w:bCs/>
                <w:sz w:val="24"/>
              </w:rPr>
              <w:t>2 juin</w:t>
            </w:r>
          </w:p>
        </w:tc>
        <w:tc>
          <w:tcPr>
            <w:tcW w:w="4606" w:type="dxa"/>
            <w:vAlign w:val="center"/>
          </w:tcPr>
          <w:p w14:paraId="2540004B" w14:textId="77777777" w:rsidR="00285BC9" w:rsidRPr="00D72594" w:rsidRDefault="00285BC9" w:rsidP="0085178E">
            <w:pPr>
              <w:pStyle w:val="Sansinterligne"/>
              <w:jc w:val="center"/>
              <w:rPr>
                <w:b/>
                <w:bCs/>
                <w:sz w:val="24"/>
              </w:rPr>
            </w:pPr>
            <w:r>
              <w:rPr>
                <w:b/>
                <w:bCs/>
                <w:sz w:val="24"/>
              </w:rPr>
              <w:t>3 juin</w:t>
            </w:r>
          </w:p>
        </w:tc>
      </w:tr>
      <w:tr w:rsidR="00285BC9" w:rsidRPr="00E938AF" w14:paraId="1D79011E" w14:textId="77777777" w:rsidTr="0085178E">
        <w:tc>
          <w:tcPr>
            <w:tcW w:w="4606" w:type="dxa"/>
          </w:tcPr>
          <w:p w14:paraId="011F393C" w14:textId="77777777" w:rsidR="00285BC9" w:rsidRDefault="00285BC9" w:rsidP="0085178E">
            <w:pPr>
              <w:pStyle w:val="Sansinterligne"/>
              <w:jc w:val="center"/>
              <w:rPr>
                <w:sz w:val="24"/>
              </w:rPr>
            </w:pPr>
          </w:p>
          <w:p w14:paraId="25E354BE" w14:textId="77777777" w:rsidR="00285BC9" w:rsidRDefault="00285BC9" w:rsidP="0085178E">
            <w:pPr>
              <w:pStyle w:val="Sansinterligne"/>
              <w:jc w:val="center"/>
              <w:rPr>
                <w:sz w:val="24"/>
              </w:rPr>
            </w:pPr>
            <w:r w:rsidRPr="00507FA9">
              <w:rPr>
                <w:sz w:val="24"/>
              </w:rPr>
              <w:t>9h</w:t>
            </w:r>
          </w:p>
          <w:p w14:paraId="1D36BB5E" w14:textId="77777777" w:rsidR="00285BC9" w:rsidRPr="00507FA9" w:rsidRDefault="00285BC9" w:rsidP="0085178E">
            <w:pPr>
              <w:pStyle w:val="Sansinterligne"/>
              <w:jc w:val="center"/>
              <w:rPr>
                <w:sz w:val="24"/>
              </w:rPr>
            </w:pPr>
          </w:p>
          <w:p w14:paraId="57BEC8EC" w14:textId="77777777" w:rsidR="00285BC9" w:rsidRDefault="00285BC9" w:rsidP="0085178E">
            <w:pPr>
              <w:pStyle w:val="Sansinterligne"/>
              <w:jc w:val="center"/>
              <w:rPr>
                <w:sz w:val="24"/>
              </w:rPr>
            </w:pPr>
            <w:r>
              <w:rPr>
                <w:sz w:val="24"/>
              </w:rPr>
              <w:t>Accueil et présentation de la formation</w:t>
            </w:r>
          </w:p>
          <w:p w14:paraId="4D2ED7AB" w14:textId="77777777" w:rsidR="00285BC9" w:rsidRPr="00507FA9" w:rsidRDefault="00285BC9" w:rsidP="0085178E">
            <w:pPr>
              <w:pStyle w:val="Sansinterligne"/>
              <w:jc w:val="center"/>
              <w:rPr>
                <w:sz w:val="24"/>
              </w:rPr>
            </w:pPr>
            <w:r>
              <w:rPr>
                <w:sz w:val="24"/>
              </w:rPr>
              <w:t>Tour de table</w:t>
            </w:r>
          </w:p>
          <w:p w14:paraId="191499C2" w14:textId="77777777" w:rsidR="00285BC9" w:rsidRPr="00507FA9" w:rsidRDefault="00285BC9" w:rsidP="0085178E">
            <w:pPr>
              <w:pStyle w:val="Sansinterligne"/>
              <w:jc w:val="center"/>
              <w:rPr>
                <w:sz w:val="24"/>
              </w:rPr>
            </w:pPr>
          </w:p>
          <w:p w14:paraId="465B6AC3" w14:textId="77777777" w:rsidR="00285BC9" w:rsidRPr="00507FA9" w:rsidRDefault="00285BC9" w:rsidP="0085178E">
            <w:pPr>
              <w:pStyle w:val="Sansinterligne"/>
              <w:jc w:val="center"/>
              <w:rPr>
                <w:sz w:val="24"/>
              </w:rPr>
            </w:pPr>
            <w:r w:rsidRPr="00507FA9">
              <w:rPr>
                <w:sz w:val="24"/>
              </w:rPr>
              <w:t>9h30</w:t>
            </w:r>
          </w:p>
          <w:p w14:paraId="3C1B9906" w14:textId="77777777" w:rsidR="00285BC9" w:rsidRPr="00507FA9" w:rsidRDefault="00285BC9" w:rsidP="0085178E">
            <w:pPr>
              <w:pStyle w:val="Sansinterligne"/>
              <w:jc w:val="center"/>
              <w:rPr>
                <w:sz w:val="24"/>
              </w:rPr>
            </w:pPr>
          </w:p>
          <w:p w14:paraId="09CA6163" w14:textId="77777777" w:rsidR="00285BC9" w:rsidRPr="00507FA9" w:rsidRDefault="00285BC9" w:rsidP="0085178E">
            <w:pPr>
              <w:pStyle w:val="Sansinterligne"/>
              <w:jc w:val="center"/>
              <w:rPr>
                <w:sz w:val="24"/>
              </w:rPr>
            </w:pPr>
            <w:r>
              <w:rPr>
                <w:sz w:val="24"/>
              </w:rPr>
              <w:t>La reconnaissance de l’inaptitude</w:t>
            </w:r>
          </w:p>
          <w:p w14:paraId="3406BD27" w14:textId="77777777" w:rsidR="00285BC9" w:rsidRPr="00507FA9" w:rsidRDefault="00285BC9" w:rsidP="0085178E">
            <w:pPr>
              <w:pStyle w:val="Sansinterligne"/>
              <w:jc w:val="center"/>
              <w:rPr>
                <w:sz w:val="24"/>
              </w:rPr>
            </w:pPr>
          </w:p>
          <w:p w14:paraId="01933EC3" w14:textId="77777777" w:rsidR="00285BC9" w:rsidRPr="00507FA9" w:rsidRDefault="00285BC9" w:rsidP="0085178E">
            <w:pPr>
              <w:pStyle w:val="Sansinterligne"/>
              <w:jc w:val="center"/>
              <w:rPr>
                <w:sz w:val="24"/>
              </w:rPr>
            </w:pPr>
          </w:p>
        </w:tc>
        <w:tc>
          <w:tcPr>
            <w:tcW w:w="4606" w:type="dxa"/>
          </w:tcPr>
          <w:p w14:paraId="08DB7E28" w14:textId="77777777" w:rsidR="00285BC9" w:rsidRDefault="00285BC9" w:rsidP="0085178E">
            <w:pPr>
              <w:pStyle w:val="Sansinterligne"/>
              <w:jc w:val="center"/>
              <w:rPr>
                <w:sz w:val="24"/>
              </w:rPr>
            </w:pPr>
          </w:p>
          <w:p w14:paraId="67838AAA" w14:textId="77777777" w:rsidR="00285BC9" w:rsidRPr="00507FA9" w:rsidRDefault="00285BC9" w:rsidP="0085178E">
            <w:pPr>
              <w:pStyle w:val="Sansinterligne"/>
              <w:jc w:val="center"/>
              <w:rPr>
                <w:sz w:val="24"/>
              </w:rPr>
            </w:pPr>
            <w:r w:rsidRPr="00507FA9">
              <w:rPr>
                <w:sz w:val="24"/>
              </w:rPr>
              <w:t>9h</w:t>
            </w:r>
          </w:p>
          <w:p w14:paraId="3C6B81B3" w14:textId="77777777" w:rsidR="00285BC9" w:rsidRPr="00507FA9" w:rsidRDefault="00285BC9" w:rsidP="0085178E">
            <w:pPr>
              <w:pStyle w:val="Sansinterligne"/>
              <w:rPr>
                <w:sz w:val="24"/>
              </w:rPr>
            </w:pPr>
          </w:p>
          <w:p w14:paraId="035B7B69" w14:textId="77777777" w:rsidR="00285BC9" w:rsidRPr="00507FA9" w:rsidRDefault="00285BC9" w:rsidP="0085178E">
            <w:pPr>
              <w:pStyle w:val="Sansinterligne"/>
              <w:jc w:val="center"/>
              <w:rPr>
                <w:sz w:val="24"/>
              </w:rPr>
            </w:pPr>
            <w:r>
              <w:rPr>
                <w:sz w:val="24"/>
              </w:rPr>
              <w:t xml:space="preserve">Le contentieux de la rupture du contrat de travail </w:t>
            </w:r>
          </w:p>
          <w:p w14:paraId="679A1447" w14:textId="77777777" w:rsidR="00285BC9" w:rsidRDefault="00285BC9" w:rsidP="0085178E">
            <w:pPr>
              <w:pStyle w:val="Sansinterligne"/>
              <w:jc w:val="center"/>
              <w:rPr>
                <w:iCs/>
                <w:sz w:val="24"/>
              </w:rPr>
            </w:pPr>
          </w:p>
          <w:p w14:paraId="1D08DD48" w14:textId="77777777" w:rsidR="00285BC9" w:rsidRDefault="00285BC9" w:rsidP="0085178E">
            <w:pPr>
              <w:pStyle w:val="Sansinterligne"/>
              <w:jc w:val="center"/>
              <w:rPr>
                <w:iCs/>
                <w:sz w:val="24"/>
              </w:rPr>
            </w:pPr>
          </w:p>
          <w:p w14:paraId="781DE5CD" w14:textId="77777777" w:rsidR="00285BC9" w:rsidRDefault="00285BC9" w:rsidP="0085178E">
            <w:pPr>
              <w:pStyle w:val="Sansinterligne"/>
              <w:jc w:val="center"/>
              <w:rPr>
                <w:iCs/>
                <w:sz w:val="24"/>
              </w:rPr>
            </w:pPr>
          </w:p>
          <w:p w14:paraId="2E05D0BA" w14:textId="77777777" w:rsidR="00285BC9" w:rsidRPr="00D72594" w:rsidRDefault="00285BC9" w:rsidP="0085178E">
            <w:pPr>
              <w:pStyle w:val="Sansinterligne"/>
              <w:jc w:val="center"/>
              <w:rPr>
                <w:iCs/>
                <w:sz w:val="24"/>
              </w:rPr>
            </w:pPr>
          </w:p>
          <w:p w14:paraId="30252E96" w14:textId="77777777" w:rsidR="00285BC9" w:rsidRPr="00E938AF" w:rsidRDefault="00285BC9" w:rsidP="0085178E">
            <w:pPr>
              <w:pStyle w:val="Sansinterligne"/>
              <w:jc w:val="center"/>
              <w:rPr>
                <w:sz w:val="24"/>
                <w:lang w:val="it-IT"/>
              </w:rPr>
            </w:pPr>
          </w:p>
        </w:tc>
      </w:tr>
      <w:tr w:rsidR="00285BC9" w:rsidRPr="00507FA9" w14:paraId="64014E51" w14:textId="77777777" w:rsidTr="0085178E">
        <w:trPr>
          <w:trHeight w:val="425"/>
        </w:trPr>
        <w:tc>
          <w:tcPr>
            <w:tcW w:w="4606" w:type="dxa"/>
            <w:vAlign w:val="center"/>
          </w:tcPr>
          <w:p w14:paraId="462CA075" w14:textId="77777777" w:rsidR="00285BC9" w:rsidRPr="00507FA9" w:rsidRDefault="00285BC9" w:rsidP="0085178E">
            <w:pPr>
              <w:pStyle w:val="Sansinterligne"/>
              <w:jc w:val="center"/>
              <w:rPr>
                <w:sz w:val="24"/>
              </w:rPr>
            </w:pPr>
            <w:r w:rsidRPr="00507FA9">
              <w:rPr>
                <w:sz w:val="24"/>
              </w:rPr>
              <w:t>12</w:t>
            </w:r>
            <w:r>
              <w:rPr>
                <w:sz w:val="24"/>
              </w:rPr>
              <w:t xml:space="preserve"> </w:t>
            </w:r>
            <w:r w:rsidRPr="00507FA9">
              <w:rPr>
                <w:sz w:val="24"/>
              </w:rPr>
              <w:t>h</w:t>
            </w:r>
            <w:r>
              <w:rPr>
                <w:sz w:val="24"/>
              </w:rPr>
              <w:t xml:space="preserve"> </w:t>
            </w:r>
            <w:r w:rsidRPr="00507FA9">
              <w:rPr>
                <w:sz w:val="24"/>
              </w:rPr>
              <w:t xml:space="preserve">30 </w:t>
            </w:r>
            <w:r>
              <w:rPr>
                <w:sz w:val="24"/>
              </w:rPr>
              <w:t>-</w:t>
            </w:r>
            <w:r w:rsidRPr="00507FA9">
              <w:rPr>
                <w:sz w:val="24"/>
              </w:rPr>
              <w:t xml:space="preserve"> pause déjeuner</w:t>
            </w:r>
          </w:p>
        </w:tc>
        <w:tc>
          <w:tcPr>
            <w:tcW w:w="4606" w:type="dxa"/>
            <w:vAlign w:val="center"/>
          </w:tcPr>
          <w:p w14:paraId="39148A10" w14:textId="77777777" w:rsidR="00285BC9" w:rsidRPr="00507FA9" w:rsidRDefault="00285BC9" w:rsidP="0085178E">
            <w:pPr>
              <w:pStyle w:val="Sansinterligne"/>
              <w:jc w:val="center"/>
              <w:rPr>
                <w:sz w:val="24"/>
              </w:rPr>
            </w:pPr>
            <w:r w:rsidRPr="00507FA9">
              <w:rPr>
                <w:sz w:val="24"/>
              </w:rPr>
              <w:t>12</w:t>
            </w:r>
            <w:r>
              <w:rPr>
                <w:sz w:val="24"/>
              </w:rPr>
              <w:t xml:space="preserve"> </w:t>
            </w:r>
            <w:r w:rsidRPr="00507FA9">
              <w:rPr>
                <w:sz w:val="24"/>
              </w:rPr>
              <w:t>h</w:t>
            </w:r>
            <w:r>
              <w:rPr>
                <w:sz w:val="24"/>
              </w:rPr>
              <w:t xml:space="preserve"> </w:t>
            </w:r>
            <w:r w:rsidRPr="00507FA9">
              <w:rPr>
                <w:sz w:val="24"/>
              </w:rPr>
              <w:t xml:space="preserve">30 </w:t>
            </w:r>
            <w:r>
              <w:rPr>
                <w:sz w:val="24"/>
              </w:rPr>
              <w:t>-</w:t>
            </w:r>
            <w:r w:rsidRPr="00507FA9">
              <w:rPr>
                <w:sz w:val="24"/>
              </w:rPr>
              <w:t xml:space="preserve"> pause déjeuner</w:t>
            </w:r>
          </w:p>
        </w:tc>
      </w:tr>
      <w:tr w:rsidR="00285BC9" w:rsidRPr="001B449B" w14:paraId="0B038741" w14:textId="77777777" w:rsidTr="0085178E">
        <w:tc>
          <w:tcPr>
            <w:tcW w:w="4606" w:type="dxa"/>
          </w:tcPr>
          <w:p w14:paraId="212676B5" w14:textId="77777777" w:rsidR="00285BC9" w:rsidRPr="00507FA9" w:rsidRDefault="00285BC9" w:rsidP="0085178E">
            <w:pPr>
              <w:pStyle w:val="Sansinterligne"/>
              <w:jc w:val="center"/>
              <w:rPr>
                <w:sz w:val="24"/>
              </w:rPr>
            </w:pPr>
          </w:p>
          <w:p w14:paraId="5BA4CC34" w14:textId="77777777" w:rsidR="00285BC9" w:rsidRPr="00507FA9" w:rsidRDefault="00285BC9" w:rsidP="0085178E">
            <w:pPr>
              <w:pStyle w:val="Sansinterligne"/>
              <w:jc w:val="center"/>
              <w:rPr>
                <w:sz w:val="24"/>
              </w:rPr>
            </w:pPr>
            <w:r w:rsidRPr="00507FA9">
              <w:rPr>
                <w:sz w:val="24"/>
              </w:rPr>
              <w:t>14h</w:t>
            </w:r>
          </w:p>
          <w:p w14:paraId="5C3AC78C" w14:textId="77777777" w:rsidR="00285BC9" w:rsidRPr="00507FA9" w:rsidRDefault="00285BC9" w:rsidP="0085178E">
            <w:pPr>
              <w:pStyle w:val="Sansinterligne"/>
              <w:jc w:val="center"/>
              <w:rPr>
                <w:sz w:val="24"/>
              </w:rPr>
            </w:pPr>
          </w:p>
          <w:p w14:paraId="56062BD6" w14:textId="77777777" w:rsidR="00285BC9" w:rsidRDefault="00285BC9" w:rsidP="0085178E">
            <w:pPr>
              <w:pStyle w:val="Sansinterligne"/>
              <w:jc w:val="center"/>
              <w:rPr>
                <w:sz w:val="24"/>
              </w:rPr>
            </w:pPr>
            <w:r>
              <w:rPr>
                <w:sz w:val="24"/>
              </w:rPr>
              <w:t>Les suites de l’avis d’inaptitude</w:t>
            </w:r>
          </w:p>
          <w:p w14:paraId="45CC92C0" w14:textId="77777777" w:rsidR="00285BC9" w:rsidRPr="00507FA9" w:rsidRDefault="00285BC9" w:rsidP="0085178E">
            <w:pPr>
              <w:pStyle w:val="Sansinterligne"/>
              <w:jc w:val="center"/>
              <w:rPr>
                <w:sz w:val="24"/>
              </w:rPr>
            </w:pPr>
          </w:p>
          <w:p w14:paraId="542699B4" w14:textId="77777777" w:rsidR="00285BC9" w:rsidRPr="00507FA9" w:rsidRDefault="00285BC9" w:rsidP="0085178E">
            <w:pPr>
              <w:pStyle w:val="Sansinterligne"/>
              <w:jc w:val="center"/>
              <w:rPr>
                <w:i/>
                <w:sz w:val="24"/>
              </w:rPr>
            </w:pPr>
          </w:p>
          <w:p w14:paraId="67E372F1" w14:textId="77777777" w:rsidR="00285BC9" w:rsidRPr="00507FA9" w:rsidRDefault="00285BC9" w:rsidP="0085178E">
            <w:pPr>
              <w:pStyle w:val="Sansinterligne"/>
              <w:jc w:val="center"/>
              <w:rPr>
                <w:sz w:val="24"/>
              </w:rPr>
            </w:pPr>
          </w:p>
          <w:p w14:paraId="1BBD7E9D" w14:textId="77777777" w:rsidR="00285BC9" w:rsidRPr="00507FA9" w:rsidRDefault="00285BC9" w:rsidP="0085178E">
            <w:pPr>
              <w:pStyle w:val="Sansinterligne"/>
              <w:jc w:val="center"/>
              <w:rPr>
                <w:sz w:val="24"/>
              </w:rPr>
            </w:pPr>
          </w:p>
        </w:tc>
        <w:tc>
          <w:tcPr>
            <w:tcW w:w="4606" w:type="dxa"/>
          </w:tcPr>
          <w:p w14:paraId="4FAF1890" w14:textId="77777777" w:rsidR="00285BC9" w:rsidRPr="00507FA9" w:rsidRDefault="00285BC9" w:rsidP="0085178E">
            <w:pPr>
              <w:pStyle w:val="Sansinterligne"/>
              <w:jc w:val="center"/>
              <w:rPr>
                <w:sz w:val="24"/>
              </w:rPr>
            </w:pPr>
          </w:p>
          <w:p w14:paraId="0B4E29C0" w14:textId="77777777" w:rsidR="00285BC9" w:rsidRPr="00507FA9" w:rsidRDefault="00285BC9" w:rsidP="0085178E">
            <w:pPr>
              <w:pStyle w:val="Sansinterligne"/>
              <w:jc w:val="center"/>
              <w:rPr>
                <w:sz w:val="24"/>
              </w:rPr>
            </w:pPr>
            <w:r w:rsidRPr="00507FA9">
              <w:rPr>
                <w:sz w:val="24"/>
              </w:rPr>
              <w:t>14h</w:t>
            </w:r>
          </w:p>
          <w:p w14:paraId="50A471A2" w14:textId="77777777" w:rsidR="00285BC9" w:rsidRPr="00507FA9" w:rsidRDefault="00285BC9" w:rsidP="0085178E">
            <w:pPr>
              <w:pStyle w:val="Sansinterligne"/>
              <w:jc w:val="center"/>
              <w:rPr>
                <w:sz w:val="24"/>
              </w:rPr>
            </w:pPr>
          </w:p>
          <w:p w14:paraId="4FA8273F" w14:textId="77777777" w:rsidR="00285BC9" w:rsidRPr="001B449B" w:rsidRDefault="00285BC9" w:rsidP="0085178E">
            <w:pPr>
              <w:pStyle w:val="Sansinterligne"/>
              <w:jc w:val="center"/>
              <w:rPr>
                <w:i/>
                <w:sz w:val="24"/>
                <w:lang w:val="it-IT"/>
              </w:rPr>
            </w:pPr>
            <w:r>
              <w:rPr>
                <w:sz w:val="24"/>
              </w:rPr>
              <w:t>Travaux de groupe</w:t>
            </w:r>
          </w:p>
          <w:p w14:paraId="00F67C19" w14:textId="77777777" w:rsidR="00285BC9" w:rsidRPr="001B449B" w:rsidRDefault="00285BC9" w:rsidP="0085178E">
            <w:pPr>
              <w:pStyle w:val="Sansinterligne"/>
              <w:rPr>
                <w:sz w:val="24"/>
                <w:lang w:val="it-IT"/>
              </w:rPr>
            </w:pPr>
          </w:p>
        </w:tc>
      </w:tr>
      <w:tr w:rsidR="00285BC9" w:rsidRPr="00431604" w14:paraId="4C490010" w14:textId="77777777" w:rsidTr="0085178E">
        <w:trPr>
          <w:trHeight w:val="544"/>
        </w:trPr>
        <w:tc>
          <w:tcPr>
            <w:tcW w:w="4606" w:type="dxa"/>
            <w:vAlign w:val="center"/>
          </w:tcPr>
          <w:p w14:paraId="2168769F" w14:textId="77777777" w:rsidR="00285BC9" w:rsidRPr="00507FA9" w:rsidRDefault="00285BC9" w:rsidP="0085178E">
            <w:pPr>
              <w:pStyle w:val="Sansinterligne"/>
              <w:jc w:val="center"/>
              <w:rPr>
                <w:sz w:val="24"/>
              </w:rPr>
            </w:pPr>
            <w:r>
              <w:rPr>
                <w:sz w:val="24"/>
              </w:rPr>
              <w:t>17h30 - fin de la journée</w:t>
            </w:r>
          </w:p>
        </w:tc>
        <w:tc>
          <w:tcPr>
            <w:tcW w:w="4606" w:type="dxa"/>
            <w:vAlign w:val="center"/>
          </w:tcPr>
          <w:p w14:paraId="3F9B84F8" w14:textId="77777777" w:rsidR="00285BC9" w:rsidRPr="00507FA9" w:rsidRDefault="00285BC9" w:rsidP="0085178E">
            <w:pPr>
              <w:pStyle w:val="Sansinterligne"/>
              <w:jc w:val="center"/>
              <w:rPr>
                <w:sz w:val="24"/>
              </w:rPr>
            </w:pPr>
            <w:r>
              <w:rPr>
                <w:sz w:val="24"/>
              </w:rPr>
              <w:t>17h30 - fin de la journée</w:t>
            </w:r>
          </w:p>
        </w:tc>
      </w:tr>
    </w:tbl>
    <w:p w14:paraId="27943F81" w14:textId="77777777" w:rsidR="00285BC9" w:rsidRPr="00431604" w:rsidRDefault="00285BC9" w:rsidP="00285BC9">
      <w:pPr>
        <w:pStyle w:val="Sansinterligne"/>
        <w:jc w:val="both"/>
        <w:rPr>
          <w:sz w:val="24"/>
        </w:rPr>
      </w:pPr>
    </w:p>
    <w:p w14:paraId="7D54FB98" w14:textId="77777777" w:rsidR="00285BC9" w:rsidRPr="00036471" w:rsidRDefault="00285BC9" w:rsidP="00285BC9">
      <w:pPr>
        <w:pStyle w:val="Sansinterligne"/>
        <w:jc w:val="both"/>
        <w:rPr>
          <w:sz w:val="28"/>
          <w:szCs w:val="24"/>
        </w:rPr>
      </w:pPr>
      <w:r w:rsidRPr="00036471">
        <w:rPr>
          <w:b/>
          <w:sz w:val="28"/>
          <w:szCs w:val="24"/>
        </w:rPr>
        <w:t>Présentation</w:t>
      </w:r>
      <w:r>
        <w:rPr>
          <w:sz w:val="28"/>
          <w:szCs w:val="24"/>
        </w:rPr>
        <w:t xml:space="preserve"> </w:t>
      </w:r>
      <w:r w:rsidRPr="0008767B">
        <w:rPr>
          <w:b/>
          <w:bCs/>
          <w:sz w:val="28"/>
          <w:szCs w:val="24"/>
        </w:rPr>
        <w:t>de la session</w:t>
      </w:r>
      <w:r>
        <w:rPr>
          <w:sz w:val="28"/>
          <w:szCs w:val="24"/>
        </w:rPr>
        <w:t xml:space="preserve"> </w:t>
      </w:r>
      <w:r w:rsidRPr="00036471">
        <w:rPr>
          <w:sz w:val="28"/>
          <w:szCs w:val="24"/>
        </w:rPr>
        <w:t xml:space="preserve">: </w:t>
      </w:r>
    </w:p>
    <w:p w14:paraId="4044FE37" w14:textId="77777777" w:rsidR="00285BC9" w:rsidRDefault="00285BC9" w:rsidP="00285BC9">
      <w:pPr>
        <w:pStyle w:val="Sansinterligne"/>
        <w:jc w:val="both"/>
        <w:rPr>
          <w:sz w:val="24"/>
        </w:rPr>
      </w:pPr>
    </w:p>
    <w:p w14:paraId="31D95188" w14:textId="77777777" w:rsidR="00285BC9" w:rsidRPr="0008767B" w:rsidRDefault="00285BC9" w:rsidP="00285BC9">
      <w:pPr>
        <w:pStyle w:val="Sansinterligne"/>
        <w:jc w:val="center"/>
        <w:rPr>
          <w:b/>
          <w:bCs/>
          <w:sz w:val="24"/>
        </w:rPr>
      </w:pPr>
      <w:r w:rsidRPr="0008767B">
        <w:rPr>
          <w:b/>
          <w:bCs/>
          <w:sz w:val="24"/>
        </w:rPr>
        <w:t>Public </w:t>
      </w:r>
    </w:p>
    <w:p w14:paraId="7919A82B" w14:textId="77777777" w:rsidR="00285BC9" w:rsidRDefault="00285BC9" w:rsidP="00285BC9">
      <w:pPr>
        <w:pStyle w:val="Sansinterligne"/>
        <w:rPr>
          <w:sz w:val="24"/>
        </w:rPr>
      </w:pPr>
      <w:r>
        <w:rPr>
          <w:sz w:val="24"/>
        </w:rPr>
        <w:t xml:space="preserve">La formation s’adresse aux conseillers prud’homaux appartenant à la CFE-CGC. </w:t>
      </w:r>
    </w:p>
    <w:p w14:paraId="68556AB0" w14:textId="77777777" w:rsidR="00285BC9" w:rsidRDefault="00285BC9" w:rsidP="00285BC9">
      <w:pPr>
        <w:pStyle w:val="Sansinterligne"/>
        <w:jc w:val="both"/>
        <w:rPr>
          <w:sz w:val="24"/>
        </w:rPr>
      </w:pPr>
    </w:p>
    <w:p w14:paraId="2FEABF86" w14:textId="77777777" w:rsidR="00285BC9" w:rsidRDefault="00285BC9" w:rsidP="00285BC9">
      <w:pPr>
        <w:tabs>
          <w:tab w:val="left" w:pos="7620"/>
        </w:tabs>
        <w:jc w:val="center"/>
        <w:rPr>
          <w:rFonts w:cstheme="minorHAnsi"/>
          <w:b/>
          <w:bCs/>
          <w:sz w:val="24"/>
          <w:szCs w:val="24"/>
        </w:rPr>
      </w:pPr>
      <w:r>
        <w:rPr>
          <w:rFonts w:cstheme="minorHAnsi"/>
          <w:b/>
          <w:bCs/>
          <w:sz w:val="24"/>
          <w:szCs w:val="24"/>
        </w:rPr>
        <w:t>Lieu</w:t>
      </w:r>
    </w:p>
    <w:p w14:paraId="5BC24C7F" w14:textId="77777777" w:rsidR="00285BC9" w:rsidRDefault="00285BC9" w:rsidP="00285BC9">
      <w:pPr>
        <w:tabs>
          <w:tab w:val="left" w:pos="7620"/>
        </w:tabs>
        <w:jc w:val="center"/>
        <w:rPr>
          <w:rFonts w:cstheme="minorHAnsi"/>
          <w:sz w:val="24"/>
          <w:szCs w:val="24"/>
        </w:rPr>
      </w:pPr>
      <w:r>
        <w:rPr>
          <w:rFonts w:cstheme="minorHAnsi"/>
          <w:sz w:val="24"/>
          <w:szCs w:val="24"/>
        </w:rPr>
        <w:t>Institut des Sciences Sociales du Travail</w:t>
      </w:r>
    </w:p>
    <w:p w14:paraId="47FD95A7" w14:textId="77777777" w:rsidR="00285BC9" w:rsidRDefault="00285BC9" w:rsidP="00285BC9">
      <w:pPr>
        <w:tabs>
          <w:tab w:val="left" w:pos="7620"/>
        </w:tabs>
        <w:jc w:val="center"/>
        <w:rPr>
          <w:rFonts w:cstheme="minorHAnsi"/>
          <w:sz w:val="24"/>
          <w:szCs w:val="24"/>
        </w:rPr>
      </w:pPr>
      <w:r>
        <w:rPr>
          <w:rFonts w:cstheme="minorHAnsi"/>
          <w:sz w:val="24"/>
          <w:szCs w:val="24"/>
        </w:rPr>
        <w:t>16 boulevard Carnot</w:t>
      </w:r>
    </w:p>
    <w:p w14:paraId="666308A0" w14:textId="77777777" w:rsidR="00285BC9" w:rsidRDefault="00285BC9" w:rsidP="00285BC9">
      <w:pPr>
        <w:tabs>
          <w:tab w:val="left" w:pos="7620"/>
        </w:tabs>
        <w:jc w:val="center"/>
        <w:rPr>
          <w:rFonts w:cstheme="minorHAnsi"/>
          <w:sz w:val="24"/>
          <w:szCs w:val="24"/>
        </w:rPr>
      </w:pPr>
      <w:r>
        <w:rPr>
          <w:rFonts w:cstheme="minorHAnsi"/>
          <w:sz w:val="24"/>
          <w:szCs w:val="24"/>
        </w:rPr>
        <w:t>92340 Bourg-la-Reine.</w:t>
      </w:r>
    </w:p>
    <w:p w14:paraId="004EBD9E" w14:textId="77777777" w:rsidR="00285BC9" w:rsidRDefault="00285BC9" w:rsidP="00285BC9">
      <w:pPr>
        <w:pStyle w:val="Sansinterligne"/>
        <w:jc w:val="both"/>
        <w:rPr>
          <w:sz w:val="24"/>
        </w:rPr>
      </w:pPr>
    </w:p>
    <w:p w14:paraId="67CD018E" w14:textId="77777777" w:rsidR="00285BC9" w:rsidRPr="0008767B" w:rsidRDefault="00285BC9" w:rsidP="00285BC9">
      <w:pPr>
        <w:pStyle w:val="Sansinterligne"/>
        <w:jc w:val="center"/>
        <w:rPr>
          <w:b/>
          <w:bCs/>
          <w:sz w:val="24"/>
        </w:rPr>
      </w:pPr>
      <w:r w:rsidRPr="0008767B">
        <w:rPr>
          <w:b/>
          <w:bCs/>
          <w:sz w:val="24"/>
        </w:rPr>
        <w:t>Objectif </w:t>
      </w:r>
    </w:p>
    <w:p w14:paraId="3EC19667" w14:textId="281CBED0" w:rsidR="00285BC9" w:rsidRPr="00B054A7" w:rsidRDefault="00285BC9" w:rsidP="00285BC9">
      <w:pPr>
        <w:pStyle w:val="Sansinterligne"/>
        <w:jc w:val="both"/>
        <w:rPr>
          <w:rFonts w:ascii="Calibri" w:hAnsi="Calibri" w:cs="Calibri"/>
          <w:sz w:val="24"/>
          <w:szCs w:val="24"/>
        </w:rPr>
      </w:pPr>
      <w:r w:rsidRPr="00B054A7">
        <w:rPr>
          <w:sz w:val="24"/>
          <w:szCs w:val="24"/>
        </w:rPr>
        <w:t xml:space="preserve">L’objectif est l’apprentissage et la maîtrise des règles en matière d’inaptitude au travail. La formation permettra d’appréhender son cadre juridique, d’identifier les conditions de sa reconnaissance et d’examiner ses répercussions sur la relation de travail. Une attention particulière sera portée aux évolutions récentes du contentieux ainsi qu’aux problématiques complexes rencontrées par les conseillers dans leur pratique quotidienne. Des travaux de groupe seront </w:t>
      </w:r>
      <w:r w:rsidR="004D65B5">
        <w:rPr>
          <w:sz w:val="24"/>
          <w:szCs w:val="24"/>
        </w:rPr>
        <w:t xml:space="preserve">également </w:t>
      </w:r>
      <w:r w:rsidRPr="00B054A7">
        <w:rPr>
          <w:sz w:val="24"/>
          <w:szCs w:val="24"/>
        </w:rPr>
        <w:t xml:space="preserve">organisés sur des situations tirées de la jurisprudence afin d’accompagner les conseillers prud’hommes </w:t>
      </w:r>
      <w:r w:rsidRPr="00B054A7">
        <w:rPr>
          <w:rFonts w:ascii="Calibri" w:hAnsi="Calibri" w:cs="Calibri"/>
          <w:sz w:val="24"/>
          <w:szCs w:val="24"/>
        </w:rPr>
        <w:t xml:space="preserve">dans l’analyse et la résolution de cas concrets. </w:t>
      </w:r>
    </w:p>
    <w:p w14:paraId="23B3D246" w14:textId="77777777" w:rsidR="00285BC9" w:rsidRDefault="00285BC9" w:rsidP="00285BC9">
      <w:pPr>
        <w:pStyle w:val="Sansinterligne"/>
        <w:jc w:val="both"/>
        <w:rPr>
          <w:sz w:val="24"/>
        </w:rPr>
      </w:pPr>
    </w:p>
    <w:p w14:paraId="44968DA3" w14:textId="77777777" w:rsidR="00285BC9" w:rsidRPr="0008767B" w:rsidRDefault="00285BC9" w:rsidP="00285BC9">
      <w:pPr>
        <w:pStyle w:val="Sansinterligne"/>
        <w:jc w:val="center"/>
        <w:rPr>
          <w:b/>
          <w:bCs/>
          <w:sz w:val="24"/>
        </w:rPr>
      </w:pPr>
      <w:r w:rsidRPr="0008767B">
        <w:rPr>
          <w:b/>
          <w:bCs/>
          <w:sz w:val="24"/>
        </w:rPr>
        <w:t>Les prérequis à cette formation </w:t>
      </w:r>
    </w:p>
    <w:p w14:paraId="5EC4879F" w14:textId="77777777" w:rsidR="00285BC9" w:rsidRDefault="00285BC9" w:rsidP="00285BC9">
      <w:pPr>
        <w:pStyle w:val="Sansinterligne"/>
        <w:jc w:val="both"/>
        <w:rPr>
          <w:sz w:val="24"/>
        </w:rPr>
      </w:pPr>
      <w:r>
        <w:rPr>
          <w:sz w:val="24"/>
        </w:rPr>
        <w:t>Ce stage ne nécessite pas de prérequis particulier.</w:t>
      </w:r>
    </w:p>
    <w:p w14:paraId="3493BDB2" w14:textId="77777777" w:rsidR="00285BC9" w:rsidRDefault="00285BC9" w:rsidP="00285BC9">
      <w:pPr>
        <w:pStyle w:val="Sansinterligne"/>
        <w:jc w:val="both"/>
        <w:rPr>
          <w:sz w:val="24"/>
        </w:rPr>
      </w:pPr>
    </w:p>
    <w:p w14:paraId="22E134D3" w14:textId="77777777" w:rsidR="00285BC9" w:rsidRDefault="00285BC9" w:rsidP="00285BC9">
      <w:pPr>
        <w:jc w:val="center"/>
        <w:rPr>
          <w:rFonts w:cstheme="minorHAnsi"/>
          <w:b/>
          <w:bCs/>
          <w:sz w:val="24"/>
          <w:szCs w:val="24"/>
        </w:rPr>
      </w:pPr>
      <w:r w:rsidRPr="0008767B">
        <w:rPr>
          <w:b/>
          <w:bCs/>
          <w:sz w:val="24"/>
        </w:rPr>
        <w:t xml:space="preserve">Thématiques </w:t>
      </w:r>
    </w:p>
    <w:p w14:paraId="34B4505B" w14:textId="77777777" w:rsidR="00285BC9" w:rsidRPr="0008767B" w:rsidRDefault="00285BC9" w:rsidP="00285BC9">
      <w:pPr>
        <w:rPr>
          <w:rFonts w:cstheme="minorHAnsi"/>
          <w:b/>
          <w:bCs/>
          <w:sz w:val="24"/>
          <w:szCs w:val="24"/>
        </w:rPr>
      </w:pPr>
      <w:r>
        <w:rPr>
          <w:rFonts w:cstheme="minorHAnsi"/>
          <w:sz w:val="24"/>
          <w:szCs w:val="24"/>
        </w:rPr>
        <w:t xml:space="preserve">Quatre grands thèmes seront abordés : </w:t>
      </w:r>
    </w:p>
    <w:p w14:paraId="047B7466" w14:textId="77777777" w:rsidR="00285BC9" w:rsidRDefault="00285BC9" w:rsidP="00285BC9">
      <w:pPr>
        <w:pStyle w:val="Sansinterligne"/>
        <w:ind w:firstLine="708"/>
        <w:jc w:val="both"/>
        <w:rPr>
          <w:sz w:val="24"/>
        </w:rPr>
      </w:pPr>
      <w:r>
        <w:rPr>
          <w:sz w:val="24"/>
        </w:rPr>
        <w:t xml:space="preserve">1/ Le déroulement de la constatation de l’inaptitude </w:t>
      </w:r>
    </w:p>
    <w:p w14:paraId="0F2D2F85" w14:textId="13B6CA96" w:rsidR="00285BC9" w:rsidRDefault="00285BC9" w:rsidP="00285BC9">
      <w:pPr>
        <w:pStyle w:val="Sansinterligne"/>
        <w:ind w:left="708"/>
        <w:jc w:val="both"/>
        <w:rPr>
          <w:sz w:val="24"/>
        </w:rPr>
      </w:pPr>
      <w:r>
        <w:rPr>
          <w:sz w:val="24"/>
        </w:rPr>
        <w:t xml:space="preserve">2/ La contestation de l’avis d’inaptitude devant le conseil de prud’hommes </w:t>
      </w:r>
      <w:r>
        <w:rPr>
          <w:sz w:val="24"/>
        </w:rPr>
        <w:tab/>
      </w:r>
      <w:r>
        <w:rPr>
          <w:sz w:val="24"/>
        </w:rPr>
        <w:br/>
        <w:t>3/ L</w:t>
      </w:r>
      <w:r w:rsidR="00185B45">
        <w:rPr>
          <w:sz w:val="24"/>
        </w:rPr>
        <w:t xml:space="preserve">es obligations </w:t>
      </w:r>
      <w:r>
        <w:rPr>
          <w:sz w:val="24"/>
        </w:rPr>
        <w:t xml:space="preserve">de l’employeur à la suite de l’avis d’inaptitude et le contrôle de </w:t>
      </w:r>
      <w:r w:rsidR="00185B45">
        <w:rPr>
          <w:sz w:val="24"/>
        </w:rPr>
        <w:t>leur</w:t>
      </w:r>
      <w:r>
        <w:rPr>
          <w:sz w:val="24"/>
        </w:rPr>
        <w:t xml:space="preserve"> mise en œuvre </w:t>
      </w:r>
      <w:r>
        <w:rPr>
          <w:sz w:val="24"/>
        </w:rPr>
        <w:tab/>
      </w:r>
      <w:r>
        <w:rPr>
          <w:sz w:val="24"/>
        </w:rPr>
        <w:br/>
        <w:t>4/ La rupture du contrat de travail pour inaptitude</w:t>
      </w:r>
    </w:p>
    <w:p w14:paraId="5384B936" w14:textId="77777777" w:rsidR="00285BC9" w:rsidRDefault="00285BC9" w:rsidP="00285BC9">
      <w:pPr>
        <w:pStyle w:val="Sansinterligne"/>
        <w:jc w:val="both"/>
        <w:rPr>
          <w:sz w:val="24"/>
        </w:rPr>
      </w:pPr>
    </w:p>
    <w:p w14:paraId="25C239CA" w14:textId="77777777" w:rsidR="00285BC9" w:rsidRDefault="00285BC9" w:rsidP="00285BC9">
      <w:pPr>
        <w:pStyle w:val="Sansinterligne"/>
        <w:jc w:val="both"/>
        <w:rPr>
          <w:sz w:val="24"/>
        </w:rPr>
      </w:pPr>
    </w:p>
    <w:p w14:paraId="272FC6D0" w14:textId="77777777" w:rsidR="00285BC9" w:rsidRDefault="00285BC9" w:rsidP="00285BC9">
      <w:pPr>
        <w:pStyle w:val="Sansinterligne"/>
        <w:jc w:val="both"/>
        <w:rPr>
          <w:sz w:val="24"/>
        </w:rPr>
      </w:pPr>
      <w:r>
        <w:rPr>
          <w:sz w:val="24"/>
        </w:rPr>
        <w:tab/>
      </w:r>
      <w:r>
        <w:rPr>
          <w:sz w:val="24"/>
        </w:rPr>
        <w:br/>
      </w:r>
      <w:r>
        <w:rPr>
          <w:sz w:val="24"/>
        </w:rPr>
        <w:br/>
      </w:r>
    </w:p>
    <w:p w14:paraId="6EEAD787" w14:textId="77777777" w:rsidR="00285BC9" w:rsidRDefault="00285BC9" w:rsidP="00285BC9">
      <w:pPr>
        <w:pStyle w:val="Sansinterligne"/>
        <w:jc w:val="both"/>
        <w:rPr>
          <w:sz w:val="24"/>
        </w:rPr>
      </w:pPr>
    </w:p>
    <w:p w14:paraId="425B3833" w14:textId="77777777" w:rsidR="00285BC9" w:rsidRDefault="00285BC9" w:rsidP="00285BC9">
      <w:pPr>
        <w:pStyle w:val="Sansinterligne"/>
        <w:jc w:val="both"/>
        <w:rPr>
          <w:sz w:val="24"/>
        </w:rPr>
      </w:pPr>
    </w:p>
    <w:p w14:paraId="4087D46B" w14:textId="77777777" w:rsidR="00285BC9" w:rsidRDefault="00285BC9" w:rsidP="00285BC9">
      <w:pPr>
        <w:pStyle w:val="Sansinterligne"/>
        <w:jc w:val="both"/>
        <w:rPr>
          <w:sz w:val="24"/>
        </w:rPr>
      </w:pPr>
    </w:p>
    <w:p w14:paraId="35ECE92F" w14:textId="77777777" w:rsidR="00285BC9" w:rsidRPr="00B427CF" w:rsidRDefault="00285BC9" w:rsidP="00285BC9">
      <w:pPr>
        <w:pStyle w:val="Sansinterligne"/>
        <w:jc w:val="both"/>
        <w:rPr>
          <w:sz w:val="24"/>
        </w:rPr>
      </w:pPr>
    </w:p>
    <w:p w14:paraId="29AED73F" w14:textId="77777777" w:rsidR="007034B9" w:rsidRDefault="007034B9" w:rsidP="00B427CF">
      <w:pPr>
        <w:pStyle w:val="Sansinterligne"/>
        <w:jc w:val="both"/>
        <w:rPr>
          <w:sz w:val="24"/>
        </w:rPr>
      </w:pPr>
    </w:p>
    <w:p w14:paraId="53EBBA93" w14:textId="77777777" w:rsidR="001C23C7" w:rsidRDefault="001C23C7" w:rsidP="00B427CF">
      <w:pPr>
        <w:pStyle w:val="Sansinterligne"/>
        <w:jc w:val="both"/>
        <w:rPr>
          <w:sz w:val="24"/>
        </w:rPr>
      </w:pPr>
    </w:p>
    <w:p w14:paraId="39046CAB" w14:textId="119D2045" w:rsidR="00F23B80" w:rsidRDefault="001C23C7" w:rsidP="00B427CF">
      <w:pPr>
        <w:pStyle w:val="Sansinterligne"/>
        <w:jc w:val="both"/>
        <w:rPr>
          <w:sz w:val="24"/>
        </w:rPr>
      </w:pPr>
      <w:r>
        <w:rPr>
          <w:sz w:val="24"/>
        </w:rPr>
        <w:tab/>
      </w:r>
      <w:r w:rsidR="00F23B80">
        <w:rPr>
          <w:sz w:val="24"/>
        </w:rPr>
        <w:br/>
      </w:r>
      <w:r w:rsidR="00F23B80">
        <w:rPr>
          <w:sz w:val="24"/>
        </w:rPr>
        <w:br/>
      </w:r>
    </w:p>
    <w:p w14:paraId="5AD016A3" w14:textId="77777777" w:rsidR="00F23B80" w:rsidRDefault="00F23B80" w:rsidP="00B427CF">
      <w:pPr>
        <w:pStyle w:val="Sansinterligne"/>
        <w:jc w:val="both"/>
        <w:rPr>
          <w:sz w:val="24"/>
        </w:rPr>
      </w:pPr>
    </w:p>
    <w:p w14:paraId="59F0A2AB" w14:textId="77777777" w:rsidR="00F23B80" w:rsidRDefault="00F23B80" w:rsidP="00B427CF">
      <w:pPr>
        <w:pStyle w:val="Sansinterligne"/>
        <w:jc w:val="both"/>
        <w:rPr>
          <w:sz w:val="24"/>
        </w:rPr>
      </w:pPr>
    </w:p>
    <w:p w14:paraId="1EC5C99B" w14:textId="77777777" w:rsidR="00FF3C73" w:rsidRDefault="00FF3C73" w:rsidP="00B427CF">
      <w:pPr>
        <w:pStyle w:val="Sansinterligne"/>
        <w:jc w:val="both"/>
        <w:rPr>
          <w:sz w:val="24"/>
        </w:rPr>
      </w:pPr>
    </w:p>
    <w:p w14:paraId="76C1A4E4" w14:textId="77777777" w:rsidR="00FF3C73" w:rsidRPr="00B427CF" w:rsidRDefault="00FF3C73" w:rsidP="00B427CF">
      <w:pPr>
        <w:pStyle w:val="Sansinterligne"/>
        <w:jc w:val="both"/>
        <w:rPr>
          <w:sz w:val="24"/>
        </w:rPr>
      </w:pPr>
    </w:p>
    <w:sectPr w:rsidR="00FF3C73" w:rsidRPr="00B427CF" w:rsidSect="00D72594">
      <w:pgSz w:w="11906" w:h="16838"/>
      <w:pgMar w:top="1417"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89"/>
    <w:rsid w:val="000050C8"/>
    <w:rsid w:val="00036471"/>
    <w:rsid w:val="0008767B"/>
    <w:rsid w:val="00095A92"/>
    <w:rsid w:val="00096370"/>
    <w:rsid w:val="000A6850"/>
    <w:rsid w:val="000B2973"/>
    <w:rsid w:val="000C6172"/>
    <w:rsid w:val="00146EC2"/>
    <w:rsid w:val="00185B45"/>
    <w:rsid w:val="001A10CF"/>
    <w:rsid w:val="001B34ED"/>
    <w:rsid w:val="001B449B"/>
    <w:rsid w:val="001C23C7"/>
    <w:rsid w:val="001E019D"/>
    <w:rsid w:val="00210601"/>
    <w:rsid w:val="00226F87"/>
    <w:rsid w:val="00232541"/>
    <w:rsid w:val="0024381C"/>
    <w:rsid w:val="00265140"/>
    <w:rsid w:val="00270F72"/>
    <w:rsid w:val="00285BC9"/>
    <w:rsid w:val="00297161"/>
    <w:rsid w:val="002A6C5D"/>
    <w:rsid w:val="002B5354"/>
    <w:rsid w:val="003619FF"/>
    <w:rsid w:val="00395016"/>
    <w:rsid w:val="003C3CE5"/>
    <w:rsid w:val="004018BF"/>
    <w:rsid w:val="00431604"/>
    <w:rsid w:val="00450777"/>
    <w:rsid w:val="00462FBC"/>
    <w:rsid w:val="0048134C"/>
    <w:rsid w:val="004B03BD"/>
    <w:rsid w:val="004D391A"/>
    <w:rsid w:val="004D62ED"/>
    <w:rsid w:val="004D65B5"/>
    <w:rsid w:val="00507FA9"/>
    <w:rsid w:val="00533336"/>
    <w:rsid w:val="00551401"/>
    <w:rsid w:val="00562DB2"/>
    <w:rsid w:val="0059584F"/>
    <w:rsid w:val="005A60BA"/>
    <w:rsid w:val="006472BD"/>
    <w:rsid w:val="007034B9"/>
    <w:rsid w:val="00713CE3"/>
    <w:rsid w:val="00782D93"/>
    <w:rsid w:val="007B1799"/>
    <w:rsid w:val="008F641D"/>
    <w:rsid w:val="009578C9"/>
    <w:rsid w:val="009C5CC2"/>
    <w:rsid w:val="009E4592"/>
    <w:rsid w:val="009E75F2"/>
    <w:rsid w:val="00A507E3"/>
    <w:rsid w:val="00A70A7C"/>
    <w:rsid w:val="00A84C7E"/>
    <w:rsid w:val="00AA3FF7"/>
    <w:rsid w:val="00AD00DA"/>
    <w:rsid w:val="00B054A7"/>
    <w:rsid w:val="00B427CF"/>
    <w:rsid w:val="00B4282B"/>
    <w:rsid w:val="00BA7E28"/>
    <w:rsid w:val="00C01438"/>
    <w:rsid w:val="00C44497"/>
    <w:rsid w:val="00CA5B89"/>
    <w:rsid w:val="00D04511"/>
    <w:rsid w:val="00D04CCB"/>
    <w:rsid w:val="00D07C30"/>
    <w:rsid w:val="00D72594"/>
    <w:rsid w:val="00D8066D"/>
    <w:rsid w:val="00D82F09"/>
    <w:rsid w:val="00E0308D"/>
    <w:rsid w:val="00E23F60"/>
    <w:rsid w:val="00E36E6B"/>
    <w:rsid w:val="00E5077F"/>
    <w:rsid w:val="00E65A33"/>
    <w:rsid w:val="00E938AF"/>
    <w:rsid w:val="00EA2101"/>
    <w:rsid w:val="00ED0AF9"/>
    <w:rsid w:val="00F23B80"/>
    <w:rsid w:val="00F43F99"/>
    <w:rsid w:val="00FD095F"/>
    <w:rsid w:val="00FF3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2D24"/>
  <w15:docId w15:val="{395A22C4-2742-44B6-B813-E83E127A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A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04C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4CCB"/>
    <w:rPr>
      <w:rFonts w:ascii="Tahoma" w:hAnsi="Tahoma" w:cs="Tahoma"/>
      <w:sz w:val="16"/>
      <w:szCs w:val="16"/>
    </w:rPr>
  </w:style>
  <w:style w:type="paragraph" w:styleId="Sansinterligne">
    <w:name w:val="No Spacing"/>
    <w:uiPriority w:val="1"/>
    <w:qFormat/>
    <w:rsid w:val="00B427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27091">
      <w:bodyDiv w:val="1"/>
      <w:marLeft w:val="0"/>
      <w:marRight w:val="0"/>
      <w:marTop w:val="0"/>
      <w:marBottom w:val="0"/>
      <w:divBdr>
        <w:top w:val="none" w:sz="0" w:space="0" w:color="auto"/>
        <w:left w:val="none" w:sz="0" w:space="0" w:color="auto"/>
        <w:bottom w:val="none" w:sz="0" w:space="0" w:color="auto"/>
        <w:right w:val="none" w:sz="0" w:space="0" w:color="auto"/>
      </w:divBdr>
    </w:div>
    <w:div w:id="12813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281</Words>
  <Characters>1548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Maud Rivolier</cp:lastModifiedBy>
  <cp:revision>9</cp:revision>
  <cp:lastPrinted>2018-09-07T14:32:00Z</cp:lastPrinted>
  <dcterms:created xsi:type="dcterms:W3CDTF">2025-02-11T13:58:00Z</dcterms:created>
  <dcterms:modified xsi:type="dcterms:W3CDTF">2025-02-11T14:28:00Z</dcterms:modified>
</cp:coreProperties>
</file>