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11274" w14:textId="700ED1F3" w:rsidR="0072700B" w:rsidRDefault="0072700B" w:rsidP="009E5199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9E5199">
        <w:rPr>
          <w:rFonts w:asciiTheme="minorHAnsi" w:hAnsiTheme="minorHAnsi" w:cstheme="minorHAnsi"/>
          <w:b/>
          <w:noProof/>
        </w:rPr>
        <w:drawing>
          <wp:inline distT="0" distB="0" distL="0" distR="0" wp14:anchorId="32A9829C" wp14:editId="2C04787C">
            <wp:extent cx="2433955" cy="1295295"/>
            <wp:effectExtent l="0" t="0" r="4445" b="635"/>
            <wp:docPr id="235668909" name="Image 235668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age_interne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234" cy="132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274FD" w14:textId="77777777" w:rsidR="0072700B" w:rsidRPr="009E5199" w:rsidRDefault="0072700B" w:rsidP="009E5199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52961CE6" w14:textId="1016F9AB" w:rsidR="00F420DE" w:rsidRPr="009E5199" w:rsidRDefault="0041693E" w:rsidP="009E5199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41693E">
        <w:rPr>
          <w:rFonts w:asciiTheme="minorHAnsi" w:hAnsiTheme="minorHAnsi" w:cstheme="minorHAnsi"/>
          <w:b/>
          <w:caps/>
        </w:rPr>
        <w:t>la négociation en période d'inflation</w:t>
      </w:r>
    </w:p>
    <w:p w14:paraId="0B430EDC" w14:textId="15E11CEE" w:rsidR="00C53A62" w:rsidRPr="009E5199" w:rsidRDefault="00C53A62" w:rsidP="009E5199">
      <w:pPr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9E5199">
        <w:rPr>
          <w:rFonts w:asciiTheme="minorHAnsi" w:hAnsiTheme="minorHAnsi" w:cstheme="minorHAnsi"/>
          <w:b/>
          <w:sz w:val="22"/>
        </w:rPr>
        <w:t>Journée d’information-sensibilisation ISST/</w:t>
      </w:r>
      <w:r w:rsidR="001857DD" w:rsidRPr="009E5199">
        <w:rPr>
          <w:rFonts w:asciiTheme="minorHAnsi" w:hAnsiTheme="minorHAnsi" w:cstheme="minorHAnsi"/>
          <w:b/>
          <w:sz w:val="22"/>
        </w:rPr>
        <w:t>DR</w:t>
      </w:r>
      <w:r w:rsidR="009B02FD" w:rsidRPr="009E5199">
        <w:rPr>
          <w:rFonts w:asciiTheme="minorHAnsi" w:hAnsiTheme="minorHAnsi" w:cstheme="minorHAnsi"/>
          <w:b/>
          <w:sz w:val="22"/>
        </w:rPr>
        <w:t>I</w:t>
      </w:r>
      <w:r w:rsidR="001857DD" w:rsidRPr="009E5199">
        <w:rPr>
          <w:rFonts w:asciiTheme="minorHAnsi" w:hAnsiTheme="minorHAnsi" w:cstheme="minorHAnsi"/>
          <w:b/>
          <w:sz w:val="22"/>
        </w:rPr>
        <w:t>EETS</w:t>
      </w:r>
      <w:r w:rsidRPr="009E5199">
        <w:rPr>
          <w:rFonts w:asciiTheme="minorHAnsi" w:hAnsiTheme="minorHAnsi" w:cstheme="minorHAnsi"/>
          <w:b/>
          <w:sz w:val="22"/>
        </w:rPr>
        <w:t xml:space="preserve"> d’</w:t>
      </w:r>
      <w:r w:rsidR="00395D39" w:rsidRPr="009E5199">
        <w:rPr>
          <w:rFonts w:asciiTheme="minorHAnsi" w:hAnsiTheme="minorHAnsi" w:cstheme="minorHAnsi"/>
          <w:b/>
          <w:sz w:val="22"/>
        </w:rPr>
        <w:t>I</w:t>
      </w:r>
      <w:r w:rsidRPr="009E5199">
        <w:rPr>
          <w:rFonts w:asciiTheme="minorHAnsi" w:hAnsiTheme="minorHAnsi" w:cstheme="minorHAnsi"/>
          <w:b/>
          <w:sz w:val="22"/>
        </w:rPr>
        <w:t>le-de-France</w:t>
      </w:r>
    </w:p>
    <w:p w14:paraId="269DB350" w14:textId="77777777" w:rsidR="00C53A62" w:rsidRPr="009E5199" w:rsidRDefault="00C53A62" w:rsidP="009E5199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1960CC7A" w14:textId="1379F673" w:rsidR="00611177" w:rsidRPr="009E5199" w:rsidRDefault="00C53A62" w:rsidP="009E5199">
      <w:pPr>
        <w:spacing w:line="240" w:lineRule="auto"/>
        <w:jc w:val="center"/>
        <w:rPr>
          <w:rFonts w:asciiTheme="minorHAnsi" w:hAnsiTheme="minorHAnsi" w:cstheme="minorHAnsi"/>
        </w:rPr>
      </w:pPr>
      <w:r w:rsidRPr="009E5199">
        <w:rPr>
          <w:rFonts w:asciiTheme="minorHAnsi" w:hAnsiTheme="minorHAnsi" w:cstheme="minorHAnsi"/>
          <w:u w:val="single"/>
        </w:rPr>
        <w:t>Responsable</w:t>
      </w:r>
      <w:r w:rsidR="000D3572">
        <w:rPr>
          <w:rFonts w:asciiTheme="minorHAnsi" w:hAnsiTheme="minorHAnsi" w:cstheme="minorHAnsi"/>
          <w:u w:val="single"/>
        </w:rPr>
        <w:t>s</w:t>
      </w:r>
      <w:r w:rsidRPr="00A7022E">
        <w:rPr>
          <w:rFonts w:asciiTheme="minorHAnsi" w:hAnsiTheme="minorHAnsi" w:cstheme="minorHAnsi"/>
        </w:rPr>
        <w:t> </w:t>
      </w:r>
      <w:r w:rsidRPr="009E5199">
        <w:rPr>
          <w:rFonts w:asciiTheme="minorHAnsi" w:hAnsiTheme="minorHAnsi" w:cstheme="minorHAnsi"/>
        </w:rPr>
        <w:t>:</w:t>
      </w:r>
    </w:p>
    <w:p w14:paraId="3191139A" w14:textId="2AD1AFDE" w:rsidR="00237F78" w:rsidRPr="009E5199" w:rsidRDefault="005E76BF" w:rsidP="009E5199">
      <w:pPr>
        <w:spacing w:line="24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Arnaud Casado</w:t>
      </w:r>
    </w:p>
    <w:p w14:paraId="25A9C607" w14:textId="5006AB1A" w:rsidR="00237F78" w:rsidRDefault="00237F78" w:rsidP="009E5199">
      <w:pPr>
        <w:spacing w:line="240" w:lineRule="auto"/>
        <w:jc w:val="center"/>
        <w:rPr>
          <w:rFonts w:ascii="Calibri Light" w:hAnsi="Calibri Light" w:cs="Calibri Light"/>
          <w:sz w:val="18"/>
        </w:rPr>
      </w:pPr>
      <w:r w:rsidRPr="009E5199">
        <w:rPr>
          <w:rFonts w:ascii="Calibri Light" w:hAnsi="Calibri Light" w:cs="Calibri Light"/>
          <w:sz w:val="18"/>
        </w:rPr>
        <w:t>Maître de conférences en</w:t>
      </w:r>
      <w:r w:rsidR="00125AD2">
        <w:rPr>
          <w:rFonts w:ascii="Calibri Light" w:hAnsi="Calibri Light" w:cs="Calibri Light"/>
          <w:sz w:val="18"/>
        </w:rPr>
        <w:t xml:space="preserve"> Droit</w:t>
      </w:r>
      <w:r w:rsidRPr="009E5199">
        <w:rPr>
          <w:rFonts w:ascii="Calibri Light" w:hAnsi="Calibri Light" w:cs="Calibri Light"/>
          <w:sz w:val="18"/>
        </w:rPr>
        <w:t>, ISST-Université Paris 1 Panthéon Sorbonne</w:t>
      </w:r>
    </w:p>
    <w:p w14:paraId="3E8EC5C0" w14:textId="406552AD" w:rsidR="00CF2237" w:rsidRPr="00CF2237" w:rsidRDefault="00CF2237" w:rsidP="009E5199">
      <w:pPr>
        <w:spacing w:line="240" w:lineRule="auto"/>
        <w:jc w:val="center"/>
        <w:rPr>
          <w:rFonts w:ascii="Calibri Light" w:hAnsi="Calibri Light" w:cs="Calibri Light"/>
          <w:szCs w:val="24"/>
        </w:rPr>
      </w:pPr>
      <w:r w:rsidRPr="00CF2237">
        <w:rPr>
          <w:rFonts w:ascii="Calibri Light" w:hAnsi="Calibri Light" w:cs="Calibri Light"/>
          <w:szCs w:val="24"/>
        </w:rPr>
        <w:t xml:space="preserve">Philippe </w:t>
      </w:r>
      <w:proofErr w:type="spellStart"/>
      <w:r w:rsidRPr="00CF2237">
        <w:rPr>
          <w:rFonts w:ascii="Calibri Light" w:hAnsi="Calibri Light" w:cs="Calibri Light"/>
          <w:szCs w:val="24"/>
        </w:rPr>
        <w:t>Légé</w:t>
      </w:r>
      <w:proofErr w:type="spellEnd"/>
    </w:p>
    <w:p w14:paraId="17F849DD" w14:textId="0D6536B2" w:rsidR="00CF2237" w:rsidRPr="009E5199" w:rsidRDefault="00CF2237" w:rsidP="009E5199">
      <w:pPr>
        <w:spacing w:line="240" w:lineRule="auto"/>
        <w:jc w:val="center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Professeur en </w:t>
      </w:r>
      <w:r w:rsidR="00110ABE">
        <w:rPr>
          <w:rFonts w:ascii="Calibri Light" w:hAnsi="Calibri Light" w:cs="Calibri Light"/>
          <w:sz w:val="18"/>
        </w:rPr>
        <w:t>S</w:t>
      </w:r>
      <w:r>
        <w:rPr>
          <w:rFonts w:ascii="Calibri Light" w:hAnsi="Calibri Light" w:cs="Calibri Light"/>
          <w:sz w:val="18"/>
        </w:rPr>
        <w:t>ciences économique</w:t>
      </w:r>
      <w:r w:rsidR="00A5088C">
        <w:rPr>
          <w:rFonts w:ascii="Calibri Light" w:hAnsi="Calibri Light" w:cs="Calibri Light"/>
          <w:sz w:val="18"/>
        </w:rPr>
        <w:t>s</w:t>
      </w:r>
      <w:r w:rsidRPr="00CF2237">
        <w:rPr>
          <w:rFonts w:ascii="Calibri Light" w:hAnsi="Calibri Light" w:cs="Calibri Light"/>
          <w:sz w:val="18"/>
        </w:rPr>
        <w:t>, ISST-Université Paris 1 Panthéon Sorbonne</w:t>
      </w:r>
    </w:p>
    <w:p w14:paraId="1E9D9E85" w14:textId="77777777" w:rsidR="000D3572" w:rsidRDefault="000D3572" w:rsidP="009E5199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04ACB396" w14:textId="77777777" w:rsidR="00C00FE5" w:rsidRPr="009E5199" w:rsidRDefault="00C00FE5" w:rsidP="009E5199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7366" w:type="dxa"/>
        <w:jc w:val="center"/>
        <w:tblBorders>
          <w:top w:val="single" w:sz="4" w:space="0" w:color="00000A"/>
          <w:left w:val="sing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7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5953"/>
      </w:tblGrid>
      <w:tr w:rsidR="005324AC" w:rsidRPr="009E5199" w14:paraId="66C61284" w14:textId="77777777" w:rsidTr="008E0E4C">
        <w:trPr>
          <w:jc w:val="center"/>
        </w:trPr>
        <w:tc>
          <w:tcPr>
            <w:tcW w:w="7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70722A1A" w14:textId="2CAA9B73" w:rsidR="005324AC" w:rsidRPr="009E5199" w:rsidRDefault="007F2AC4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Jeudi 12 septembre 2024</w:t>
            </w:r>
          </w:p>
        </w:tc>
      </w:tr>
      <w:tr w:rsidR="005324AC" w:rsidRPr="009E5199" w14:paraId="0588609E" w14:textId="77777777" w:rsidTr="008E0E4C">
        <w:trPr>
          <w:trHeight w:val="3220"/>
          <w:jc w:val="center"/>
        </w:trPr>
        <w:tc>
          <w:tcPr>
            <w:tcW w:w="14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</w:tcPr>
          <w:p w14:paraId="57C14185" w14:textId="77777777" w:rsidR="00C53A62" w:rsidRPr="009E5199" w:rsidRDefault="00C53A62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90DC28D" w14:textId="6A0B140A" w:rsidR="005324AC" w:rsidRDefault="00125AD2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9h30</w:t>
            </w:r>
          </w:p>
          <w:p w14:paraId="23F7C0C3" w14:textId="77777777" w:rsidR="00F44CA2" w:rsidRPr="009E5199" w:rsidRDefault="00F44CA2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FED895E" w14:textId="77777777" w:rsidR="005324AC" w:rsidRPr="009E5199" w:rsidRDefault="005324AC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CFCA0EF" w14:textId="77777777" w:rsidR="008E0E4C" w:rsidRDefault="008E0E4C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E093E3A" w14:textId="30C0A7A9" w:rsidR="00125AD2" w:rsidRPr="009E5199" w:rsidRDefault="00125AD2" w:rsidP="00125AD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9h40-</w:t>
            </w:r>
            <w:r w:rsidR="0061619B">
              <w:rPr>
                <w:rFonts w:asciiTheme="minorHAnsi" w:hAnsiTheme="minorHAnsi" w:cstheme="minorHAnsi"/>
                <w:b/>
              </w:rPr>
              <w:t>11</w:t>
            </w:r>
            <w:r>
              <w:rPr>
                <w:rFonts w:asciiTheme="minorHAnsi" w:hAnsiTheme="minorHAnsi" w:cstheme="minorHAnsi"/>
                <w:b/>
              </w:rPr>
              <w:t>h</w:t>
            </w:r>
            <w:r w:rsidR="0061619B">
              <w:rPr>
                <w:rFonts w:asciiTheme="minorHAnsi" w:hAnsiTheme="minorHAnsi" w:cstheme="minorHAnsi"/>
                <w:b/>
              </w:rPr>
              <w:t>00</w:t>
            </w:r>
          </w:p>
          <w:p w14:paraId="3ED0B0B9" w14:textId="77777777" w:rsidR="008E0E4C" w:rsidRPr="009E5199" w:rsidRDefault="008E0E4C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7FC9B08" w14:textId="77777777" w:rsidR="00E059A0" w:rsidRDefault="00E059A0" w:rsidP="008E0E4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924B5DB" w14:textId="654CD36A" w:rsidR="00E059A0" w:rsidRDefault="00E059A0" w:rsidP="008E0E4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F578690" w14:textId="77777777" w:rsidR="00F054BC" w:rsidRDefault="00F054BC" w:rsidP="008E0E4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3271F6C" w14:textId="77777777" w:rsidR="00534974" w:rsidRDefault="00534974" w:rsidP="008E0E4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33DEBDD" w14:textId="5EED2F86" w:rsidR="005324AC" w:rsidRPr="009E5199" w:rsidRDefault="0049669C" w:rsidP="008E0E4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11h</w:t>
            </w:r>
            <w:r w:rsidR="0061619B">
              <w:rPr>
                <w:rFonts w:asciiTheme="minorHAnsi" w:hAnsiTheme="minorHAnsi" w:cstheme="minorHAnsi"/>
                <w:b/>
              </w:rPr>
              <w:t>10</w:t>
            </w:r>
            <w:r>
              <w:rPr>
                <w:rFonts w:asciiTheme="minorHAnsi" w:hAnsiTheme="minorHAnsi" w:cstheme="minorHAnsi"/>
                <w:b/>
              </w:rPr>
              <w:t>-1</w:t>
            </w:r>
            <w:r w:rsidR="0009496C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h30</w:t>
            </w:r>
          </w:p>
          <w:p w14:paraId="198E4DC3" w14:textId="77777777" w:rsidR="005324AC" w:rsidRPr="009E5199" w:rsidRDefault="005324AC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0349E877" w14:textId="77777777" w:rsidR="00C53A62" w:rsidRPr="009E5199" w:rsidRDefault="00C53A62" w:rsidP="009E519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A0E3DB3" w14:textId="7A05BD80" w:rsidR="005324AC" w:rsidRPr="005B666D" w:rsidRDefault="00491BAD" w:rsidP="002123B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B666D">
              <w:rPr>
                <w:rFonts w:asciiTheme="minorHAnsi" w:hAnsiTheme="minorHAnsi" w:cstheme="minorHAnsi"/>
                <w:b/>
                <w:bCs/>
                <w:szCs w:val="24"/>
              </w:rPr>
              <w:t>Introduction</w:t>
            </w:r>
            <w:r w:rsidR="002123BF" w:rsidRPr="005B666D">
              <w:rPr>
                <w:rFonts w:asciiTheme="minorHAnsi" w:hAnsiTheme="minorHAnsi" w:cstheme="minorHAnsi"/>
                <w:b/>
                <w:bCs/>
                <w:szCs w:val="24"/>
              </w:rPr>
              <w:t xml:space="preserve"> et présentation de la journée</w:t>
            </w:r>
          </w:p>
          <w:p w14:paraId="352D9DFB" w14:textId="0702A74D" w:rsidR="002123BF" w:rsidRDefault="002123BF" w:rsidP="002123BF">
            <w:pPr>
              <w:spacing w:line="240" w:lineRule="auto"/>
              <w:jc w:val="center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Arnaud CASADO et Philippe LEGE</w:t>
            </w:r>
          </w:p>
          <w:p w14:paraId="4382AC0D" w14:textId="77777777" w:rsidR="00491BAD" w:rsidRPr="009E5199" w:rsidRDefault="00491BAD" w:rsidP="009E5199">
            <w:pPr>
              <w:spacing w:line="240" w:lineRule="auto"/>
              <w:rPr>
                <w:rFonts w:asciiTheme="minorHAnsi" w:hAnsiTheme="minorHAnsi" w:cstheme="minorHAnsi"/>
                <w:sz w:val="21"/>
              </w:rPr>
            </w:pPr>
          </w:p>
          <w:p w14:paraId="5A8C17F5" w14:textId="77777777" w:rsidR="005B666D" w:rsidRDefault="005B666D" w:rsidP="00491BA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49705D" w14:textId="04219EB5" w:rsidR="00491BAD" w:rsidRPr="00491BAD" w:rsidRDefault="00491BAD" w:rsidP="00491BA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91BAD">
              <w:rPr>
                <w:rFonts w:asciiTheme="minorHAnsi" w:hAnsiTheme="minorHAnsi" w:cstheme="minorHAnsi"/>
                <w:b/>
                <w:bCs/>
                <w:szCs w:val="24"/>
              </w:rPr>
              <w:t>L’inflation : causes, mesures</w:t>
            </w:r>
            <w:r w:rsidR="0046574D">
              <w:rPr>
                <w:rFonts w:asciiTheme="minorHAnsi" w:hAnsiTheme="minorHAnsi" w:cstheme="minorHAnsi"/>
                <w:b/>
                <w:bCs/>
                <w:szCs w:val="24"/>
              </w:rPr>
              <w:t>,</w:t>
            </w:r>
            <w:r w:rsidRPr="0049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 évolution</w:t>
            </w:r>
            <w:r w:rsidR="0046574D">
              <w:rPr>
                <w:rFonts w:asciiTheme="minorHAnsi" w:hAnsiTheme="minorHAnsi" w:cstheme="minorHAnsi"/>
                <w:b/>
                <w:bCs/>
                <w:szCs w:val="24"/>
              </w:rPr>
              <w:t>s</w:t>
            </w:r>
            <w:r w:rsidRPr="0049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 récente</w:t>
            </w:r>
            <w:r w:rsidR="0046574D">
              <w:rPr>
                <w:rFonts w:asciiTheme="minorHAnsi" w:hAnsiTheme="minorHAnsi" w:cstheme="minorHAnsi"/>
                <w:b/>
                <w:bCs/>
                <w:szCs w:val="24"/>
              </w:rPr>
              <w:t>s et pistes de négociation</w:t>
            </w:r>
          </w:p>
          <w:p w14:paraId="75C3707E" w14:textId="562968C5" w:rsidR="00EA3991" w:rsidRDefault="00491BAD" w:rsidP="00EA399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49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Philippe </w:t>
            </w:r>
            <w:r w:rsidR="000158B7"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 w:rsidR="002123BF">
              <w:rPr>
                <w:rFonts w:asciiTheme="minorHAnsi" w:hAnsiTheme="minorHAnsi" w:cstheme="minorHAnsi"/>
                <w:bCs/>
                <w:sz w:val="22"/>
                <w:szCs w:val="22"/>
              </w:rPr>
              <w:t>EGE</w:t>
            </w:r>
            <w:r w:rsidR="002249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24944" w:rsidRPr="00224944">
              <w:rPr>
                <w:rFonts w:asciiTheme="minorHAnsi" w:hAnsiTheme="minorHAnsi" w:cstheme="minorHAnsi"/>
                <w:bCs/>
                <w:sz w:val="22"/>
                <w:szCs w:val="22"/>
              </w:rPr>
              <w:t>(ISST Université Paris 1</w:t>
            </w:r>
            <w:r w:rsidR="00EA39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Panthéon-Sorbonne</w:t>
            </w:r>
            <w:r w:rsidR="00224944" w:rsidRPr="00224944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EA39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et Jonathan MARIE </w:t>
            </w:r>
            <w:r w:rsidR="00EA3991" w:rsidRPr="00224944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EA3991" w:rsidRPr="009858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Université </w:t>
            </w:r>
            <w:r w:rsidR="00EA3991">
              <w:rPr>
                <w:rFonts w:asciiTheme="minorHAnsi" w:hAnsiTheme="minorHAnsi" w:cstheme="minorHAnsi"/>
                <w:bCs/>
                <w:sz w:val="22"/>
                <w:szCs w:val="22"/>
              </w:rPr>
              <w:t>Sorbonne Nouvelle</w:t>
            </w:r>
            <w:r w:rsidR="00EA3991" w:rsidRPr="00224944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183148C8" w14:textId="77777777" w:rsidR="00E059A0" w:rsidRDefault="00E059A0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979B24" w14:textId="4428C9E6" w:rsidR="00E059A0" w:rsidRPr="00C1192C" w:rsidRDefault="00E059A0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Pause</w:t>
            </w:r>
          </w:p>
          <w:p w14:paraId="53BD591F" w14:textId="77777777" w:rsidR="00766112" w:rsidRDefault="00766112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AB20864" w14:textId="5964EEB3" w:rsidR="00766112" w:rsidRPr="0071633C" w:rsidRDefault="009858C5" w:rsidP="0076611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</w:t>
            </w:r>
            <w:r w:rsidR="00274D4A" w:rsidRPr="0071633C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71633C">
              <w:rPr>
                <w:rFonts w:asciiTheme="minorHAnsi" w:hAnsiTheme="minorHAnsi" w:cstheme="minorHAnsi"/>
                <w:b/>
              </w:rPr>
              <w:t xml:space="preserve">rincipe </w:t>
            </w:r>
            <w:r w:rsidR="0071633C" w:rsidRPr="0071633C">
              <w:rPr>
                <w:rFonts w:asciiTheme="minorHAnsi" w:hAnsiTheme="minorHAnsi" w:cstheme="minorHAnsi"/>
                <w:b/>
              </w:rPr>
              <w:t>de non indexation du salaire sur les prix</w:t>
            </w:r>
            <w:r w:rsidR="0046574D">
              <w:rPr>
                <w:rFonts w:asciiTheme="minorHAnsi" w:hAnsiTheme="minorHAnsi" w:cstheme="minorHAnsi"/>
                <w:b/>
              </w:rPr>
              <w:t xml:space="preserve"> – Panorama européen</w:t>
            </w:r>
          </w:p>
          <w:p w14:paraId="6498AF14" w14:textId="47983CA2" w:rsidR="00EA3991" w:rsidRDefault="00EA3991" w:rsidP="00EA399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49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Philippe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LEGE </w:t>
            </w:r>
            <w:r w:rsidRPr="00224944">
              <w:rPr>
                <w:rFonts w:asciiTheme="minorHAnsi" w:hAnsiTheme="minorHAnsi" w:cstheme="minorHAnsi"/>
                <w:bCs/>
                <w:sz w:val="22"/>
                <w:szCs w:val="22"/>
              </w:rPr>
              <w:t>(ISST Université Paris 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Panthéon-Sorbonne</w:t>
            </w:r>
            <w:r w:rsidRPr="00224944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et Jonathan MARIE </w:t>
            </w:r>
            <w:r w:rsidRPr="00224944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9858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Université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Sorbonne Nouvelle</w:t>
            </w:r>
            <w:r w:rsidRPr="00224944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33094427" w14:textId="682E7A01" w:rsidR="0056120F" w:rsidRPr="0056120F" w:rsidRDefault="0056120F" w:rsidP="00EA399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</w:tc>
      </w:tr>
      <w:tr w:rsidR="005324AC" w:rsidRPr="009E5199" w14:paraId="3FB83B0A" w14:textId="77777777" w:rsidTr="008E0E4C">
        <w:trPr>
          <w:jc w:val="center"/>
        </w:trPr>
        <w:tc>
          <w:tcPr>
            <w:tcW w:w="14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</w:tcPr>
          <w:p w14:paraId="5BEF35B5" w14:textId="77777777" w:rsidR="005324AC" w:rsidRPr="009E5199" w:rsidRDefault="00D12252" w:rsidP="008E0E4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E5199">
              <w:rPr>
                <w:rFonts w:asciiTheme="minorHAnsi" w:hAnsiTheme="minorHAnsi" w:cstheme="minorHAnsi"/>
              </w:rPr>
              <w:t>12 h </w:t>
            </w:r>
            <w:r w:rsidR="007A207D" w:rsidRPr="009E5199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02EC5652" w14:textId="73A8BFE9" w:rsidR="005324AC" w:rsidRPr="009E5199" w:rsidRDefault="003B7D03" w:rsidP="009E519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E5199">
              <w:rPr>
                <w:rFonts w:asciiTheme="minorHAnsi" w:hAnsiTheme="minorHAnsi" w:cstheme="minorHAnsi"/>
              </w:rPr>
              <w:t>Déjeuner</w:t>
            </w:r>
          </w:p>
        </w:tc>
      </w:tr>
      <w:tr w:rsidR="005324AC" w:rsidRPr="009E5199" w14:paraId="61726102" w14:textId="77777777" w:rsidTr="008E0E4C">
        <w:trPr>
          <w:jc w:val="center"/>
        </w:trPr>
        <w:tc>
          <w:tcPr>
            <w:tcW w:w="141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</w:tcPr>
          <w:p w14:paraId="312A5653" w14:textId="77777777" w:rsidR="002D525B" w:rsidRDefault="002D525B" w:rsidP="008E0E4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761AA90" w14:textId="77777777" w:rsidR="002D525B" w:rsidRDefault="002D525B" w:rsidP="008E0E4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CBA9520" w14:textId="77777777" w:rsidR="002D525B" w:rsidRDefault="002D525B" w:rsidP="008E0E4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18A1600" w14:textId="77777777" w:rsidR="00125AD2" w:rsidRDefault="00125AD2" w:rsidP="008E0E4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F6B3791" w14:textId="77777777" w:rsidR="00125AD2" w:rsidRDefault="00125AD2" w:rsidP="008E0E4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9BDD1C5" w14:textId="1B8E0C4C" w:rsidR="005324AC" w:rsidRPr="009E5199" w:rsidRDefault="00D12252" w:rsidP="008E0E4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5199">
              <w:rPr>
                <w:rFonts w:asciiTheme="minorHAnsi" w:hAnsiTheme="minorHAnsi" w:cstheme="minorHAnsi"/>
                <w:b/>
              </w:rPr>
              <w:t>14</w:t>
            </w:r>
            <w:r w:rsidR="00395D39" w:rsidRPr="009E5199">
              <w:rPr>
                <w:rFonts w:asciiTheme="minorHAnsi" w:hAnsiTheme="minorHAnsi" w:cstheme="minorHAnsi"/>
                <w:b/>
              </w:rPr>
              <w:t>h</w:t>
            </w:r>
            <w:r w:rsidR="002D525B">
              <w:rPr>
                <w:rFonts w:asciiTheme="minorHAnsi" w:hAnsiTheme="minorHAnsi" w:cstheme="minorHAnsi"/>
                <w:b/>
              </w:rPr>
              <w:t>-15</w:t>
            </w:r>
            <w:r w:rsidR="00DF6660">
              <w:rPr>
                <w:rFonts w:asciiTheme="minorHAnsi" w:hAnsiTheme="minorHAnsi" w:cstheme="minorHAnsi"/>
                <w:b/>
              </w:rPr>
              <w:t>h2</w:t>
            </w:r>
            <w:r w:rsidR="00BF7774">
              <w:rPr>
                <w:rFonts w:asciiTheme="minorHAnsi" w:hAnsiTheme="minorHAnsi" w:cstheme="minorHAnsi"/>
                <w:b/>
              </w:rPr>
              <w:t>5</w:t>
            </w:r>
          </w:p>
          <w:p w14:paraId="22252299" w14:textId="77777777" w:rsidR="005324AC" w:rsidRDefault="005324AC" w:rsidP="008E0E4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D442009" w14:textId="77777777" w:rsidR="007C013A" w:rsidRDefault="007C013A" w:rsidP="008E0E4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0D2028E" w14:textId="77777777" w:rsidR="00A14840" w:rsidRDefault="00A14840" w:rsidP="008E0E4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35B6222" w14:textId="77777777" w:rsidR="007C013A" w:rsidRPr="009E5199" w:rsidRDefault="007C013A" w:rsidP="008E0E4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AA3838A" w14:textId="1F20AD70" w:rsidR="005324AC" w:rsidRPr="002D525B" w:rsidRDefault="007B32E7" w:rsidP="008E0E4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D525B">
              <w:rPr>
                <w:rFonts w:asciiTheme="minorHAnsi" w:hAnsiTheme="minorHAnsi" w:cstheme="minorHAnsi"/>
                <w:b/>
                <w:bCs/>
                <w:szCs w:val="24"/>
              </w:rPr>
              <w:t>15</w:t>
            </w:r>
            <w:r w:rsidR="003F4B6D" w:rsidRPr="002D525B">
              <w:rPr>
                <w:rFonts w:asciiTheme="minorHAnsi" w:hAnsiTheme="minorHAnsi" w:cstheme="minorHAnsi"/>
                <w:b/>
                <w:bCs/>
                <w:szCs w:val="24"/>
              </w:rPr>
              <w:t>h</w:t>
            </w:r>
            <w:r w:rsidRPr="002D525B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="00A14840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="002D525B" w:rsidRPr="002D525B">
              <w:rPr>
                <w:rFonts w:asciiTheme="minorHAnsi" w:hAnsiTheme="minorHAnsi" w:cstheme="minorHAnsi"/>
                <w:b/>
                <w:bCs/>
                <w:szCs w:val="24"/>
              </w:rPr>
              <w:t>-17h</w:t>
            </w:r>
          </w:p>
          <w:p w14:paraId="4DFA287D" w14:textId="77777777" w:rsidR="005324AC" w:rsidRPr="009E5199" w:rsidRDefault="005324AC" w:rsidP="008E0E4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0F017B5" w14:textId="77777777" w:rsidR="005324AC" w:rsidRPr="009E5199" w:rsidRDefault="005324AC" w:rsidP="008E0E4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B4862B1" w14:textId="77777777" w:rsidR="007B32E7" w:rsidRPr="009E5199" w:rsidRDefault="007B32E7" w:rsidP="00A14840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69689ED8" w14:textId="77777777" w:rsidR="005324AC" w:rsidRPr="009E5199" w:rsidRDefault="005324AC" w:rsidP="00FA43E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2E36F9AC" w14:textId="169647E2" w:rsidR="007B32E7" w:rsidRDefault="007B32E7" w:rsidP="007B32E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738D7373" w14:textId="7C4B272C" w:rsidR="0056120F" w:rsidRDefault="0056120F" w:rsidP="0076611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47140181"/>
          </w:p>
          <w:p w14:paraId="34B6A95D" w14:textId="041D4FDD" w:rsidR="00766112" w:rsidRPr="00CE34FF" w:rsidRDefault="00CE34FF" w:rsidP="0076611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E34FF">
              <w:rPr>
                <w:rFonts w:asciiTheme="minorHAnsi" w:hAnsiTheme="minorHAnsi" w:cstheme="minorHAnsi"/>
                <w:b/>
              </w:rPr>
              <w:t>Négocier une augmentation des rémunérations en période d’inflation : illustration par les accords</w:t>
            </w:r>
          </w:p>
          <w:bookmarkEnd w:id="0"/>
          <w:p w14:paraId="15652CC1" w14:textId="560CDA2A" w:rsidR="00072282" w:rsidRPr="00CE34FF" w:rsidRDefault="00CE34FF" w:rsidP="0076611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E34FF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Partage de la valeur, salaire et primes, etc.)</w:t>
            </w:r>
          </w:p>
          <w:p w14:paraId="40395338" w14:textId="77777777" w:rsidR="00CE34FF" w:rsidRPr="00491BAD" w:rsidRDefault="00CE34FF" w:rsidP="00CE34FF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4944">
              <w:rPr>
                <w:rFonts w:asciiTheme="minorHAnsi" w:hAnsiTheme="minorHAnsi" w:cstheme="minorHAnsi"/>
                <w:bCs/>
                <w:sz w:val="22"/>
                <w:szCs w:val="22"/>
              </w:rPr>
              <w:t>Arnaud CASADO (ISST Université Paris 1)</w:t>
            </w:r>
          </w:p>
          <w:p w14:paraId="340ADFE8" w14:textId="77777777" w:rsidR="00CE13DF" w:rsidRPr="000D1E80" w:rsidRDefault="00CE13DF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5D46C308" w14:textId="43DA43D4" w:rsidR="007C013A" w:rsidRPr="00224944" w:rsidRDefault="00A14840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4944">
              <w:rPr>
                <w:rFonts w:asciiTheme="minorHAnsi" w:hAnsiTheme="minorHAnsi" w:cstheme="minorHAnsi"/>
                <w:sz w:val="22"/>
                <w:szCs w:val="22"/>
              </w:rPr>
              <w:t>Pause</w:t>
            </w:r>
          </w:p>
          <w:p w14:paraId="7AF082A3" w14:textId="41203C83" w:rsidR="00A14840" w:rsidRDefault="00A14840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0CBE518C" w14:textId="77777777" w:rsidR="00BB5E16" w:rsidRPr="000D1E80" w:rsidRDefault="00BB5E16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5647C917" w14:textId="0ACCFB7A" w:rsidR="00716A68" w:rsidRPr="00224944" w:rsidRDefault="00224944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24944">
              <w:rPr>
                <w:rFonts w:asciiTheme="minorHAnsi" w:hAnsiTheme="minorHAnsi" w:cstheme="minorHAnsi"/>
                <w:b/>
                <w:bCs/>
                <w:szCs w:val="24"/>
              </w:rPr>
              <w:t>L</w:t>
            </w:r>
            <w:r w:rsidR="00BB5E16">
              <w:rPr>
                <w:rFonts w:asciiTheme="minorHAnsi" w:hAnsiTheme="minorHAnsi" w:cstheme="minorHAnsi"/>
                <w:b/>
                <w:bCs/>
                <w:szCs w:val="24"/>
              </w:rPr>
              <w:t>a négociation et l</w:t>
            </w:r>
            <w:r w:rsidRPr="00224944">
              <w:rPr>
                <w:rFonts w:asciiTheme="minorHAnsi" w:hAnsiTheme="minorHAnsi" w:cstheme="minorHAnsi"/>
                <w:b/>
                <w:bCs/>
                <w:szCs w:val="24"/>
              </w:rPr>
              <w:t>es sanctions</w:t>
            </w:r>
          </w:p>
          <w:p w14:paraId="37B1DF5A" w14:textId="433F24F4" w:rsidR="00224944" w:rsidRPr="00224944" w:rsidRDefault="00224944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24944">
              <w:rPr>
                <w:rFonts w:asciiTheme="minorHAnsi" w:hAnsiTheme="minorHAnsi" w:cstheme="minorHAnsi"/>
                <w:szCs w:val="24"/>
              </w:rPr>
              <w:t>(Les sanctions pénales – les sanctions administratives)</w:t>
            </w:r>
          </w:p>
          <w:p w14:paraId="14C87AFB" w14:textId="23FD62EB" w:rsidR="00224944" w:rsidRPr="00491BAD" w:rsidRDefault="00224944" w:rsidP="002249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4944">
              <w:rPr>
                <w:rFonts w:asciiTheme="minorHAnsi" w:hAnsiTheme="minorHAnsi" w:cstheme="minorHAnsi"/>
                <w:bCs/>
                <w:sz w:val="22"/>
                <w:szCs w:val="22"/>
              </w:rPr>
              <w:t>Arnaud CASADO (ISST Université Paris 1)</w:t>
            </w:r>
          </w:p>
          <w:p w14:paraId="0A3D0195" w14:textId="3F5E03E7" w:rsidR="006B1A3E" w:rsidRPr="00F809D4" w:rsidRDefault="006B1A3E" w:rsidP="00F809D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00662F" w14:textId="738746F8" w:rsidR="005324AC" w:rsidRPr="006A271A" w:rsidRDefault="005324AC" w:rsidP="009E5199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52FBBF59" w14:textId="1EE8AAB3" w:rsidR="0053504B" w:rsidRPr="006A271A" w:rsidRDefault="0053504B" w:rsidP="009E5199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2C508C4F" w14:textId="79235556" w:rsidR="00B830D5" w:rsidRPr="0062707E" w:rsidRDefault="00D12252" w:rsidP="003F4739">
      <w:pPr>
        <w:spacing w:after="240" w:line="240" w:lineRule="auto"/>
        <w:rPr>
          <w:rFonts w:ascii="Calibri Light" w:hAnsi="Calibri Light" w:cs="Calibri Light"/>
        </w:rPr>
      </w:pPr>
      <w:r w:rsidRPr="009E5199">
        <w:rPr>
          <w:rFonts w:asciiTheme="minorHAnsi" w:hAnsiTheme="minorHAnsi" w:cstheme="minorHAnsi"/>
          <w:b/>
        </w:rPr>
        <w:t>PUBLIC :</w:t>
      </w:r>
      <w:r w:rsidR="003F4739">
        <w:rPr>
          <w:rFonts w:asciiTheme="minorHAnsi" w:hAnsiTheme="minorHAnsi" w:cstheme="minorHAnsi"/>
          <w:b/>
        </w:rPr>
        <w:t xml:space="preserve"> </w:t>
      </w:r>
      <w:r w:rsidRPr="0062707E">
        <w:rPr>
          <w:rFonts w:ascii="Calibri Light" w:hAnsi="Calibri Light" w:cs="Calibri Light"/>
        </w:rPr>
        <w:t xml:space="preserve">Le stage s’adresse </w:t>
      </w:r>
      <w:r w:rsidR="008B004C">
        <w:rPr>
          <w:rFonts w:ascii="Calibri Light" w:hAnsi="Calibri Light" w:cs="Calibri Light"/>
        </w:rPr>
        <w:t>aux</w:t>
      </w:r>
      <w:r w:rsidRPr="0062707E">
        <w:rPr>
          <w:rFonts w:ascii="Calibri Light" w:hAnsi="Calibri Light" w:cs="Calibri Light"/>
        </w:rPr>
        <w:t xml:space="preserve"> inspecteurs</w:t>
      </w:r>
      <w:r w:rsidR="00DF6660" w:rsidRPr="0062707E">
        <w:rPr>
          <w:rFonts w:ascii="Calibri Light" w:hAnsi="Calibri Light" w:cs="Calibri Light"/>
        </w:rPr>
        <w:t xml:space="preserve"> et inspec</w:t>
      </w:r>
      <w:r w:rsidR="00570E7F" w:rsidRPr="0062707E">
        <w:rPr>
          <w:rFonts w:ascii="Calibri Light" w:hAnsi="Calibri Light" w:cs="Calibri Light"/>
        </w:rPr>
        <w:t>trices</w:t>
      </w:r>
      <w:r w:rsidRPr="0062707E">
        <w:rPr>
          <w:rFonts w:ascii="Calibri Light" w:hAnsi="Calibri Light" w:cs="Calibri Light"/>
        </w:rPr>
        <w:t xml:space="preserve"> du travail d’</w:t>
      </w:r>
      <w:r w:rsidR="00395D39" w:rsidRPr="0062707E">
        <w:rPr>
          <w:rFonts w:ascii="Calibri Light" w:hAnsi="Calibri Light" w:cs="Calibri Light"/>
        </w:rPr>
        <w:t>I</w:t>
      </w:r>
      <w:r w:rsidRPr="0062707E">
        <w:rPr>
          <w:rFonts w:ascii="Calibri Light" w:hAnsi="Calibri Light" w:cs="Calibri Light"/>
        </w:rPr>
        <w:t>le-de-</w:t>
      </w:r>
      <w:r w:rsidR="00B830D5" w:rsidRPr="0062707E">
        <w:rPr>
          <w:rFonts w:ascii="Calibri Light" w:hAnsi="Calibri Light" w:cs="Calibri Light"/>
        </w:rPr>
        <w:t>France</w:t>
      </w:r>
      <w:r w:rsidRPr="0062707E">
        <w:rPr>
          <w:rFonts w:ascii="Calibri Light" w:hAnsi="Calibri Light" w:cs="Calibri Light"/>
        </w:rPr>
        <w:t>.</w:t>
      </w:r>
    </w:p>
    <w:p w14:paraId="74E6409E" w14:textId="18CEC2F6" w:rsidR="0018104A" w:rsidRPr="009E5199" w:rsidRDefault="0018104A" w:rsidP="009E5199">
      <w:pPr>
        <w:spacing w:line="240" w:lineRule="auto"/>
        <w:rPr>
          <w:rFonts w:asciiTheme="minorHAnsi" w:hAnsiTheme="minorHAnsi" w:cstheme="minorHAnsi"/>
        </w:rPr>
      </w:pPr>
    </w:p>
    <w:p w14:paraId="6484AC0A" w14:textId="77777777" w:rsidR="005324AC" w:rsidRPr="009E5199" w:rsidRDefault="00D12252" w:rsidP="000E78F2">
      <w:pPr>
        <w:spacing w:after="240" w:line="240" w:lineRule="auto"/>
        <w:rPr>
          <w:rFonts w:asciiTheme="minorHAnsi" w:hAnsiTheme="minorHAnsi" w:cstheme="minorHAnsi"/>
          <w:b/>
        </w:rPr>
      </w:pPr>
      <w:r w:rsidRPr="009E5199">
        <w:rPr>
          <w:rFonts w:asciiTheme="minorHAnsi" w:hAnsiTheme="minorHAnsi" w:cstheme="minorHAnsi"/>
          <w:b/>
        </w:rPr>
        <w:t>OBJECTIFS :</w:t>
      </w:r>
    </w:p>
    <w:p w14:paraId="7D6035A6" w14:textId="5043BCCF" w:rsidR="00640164" w:rsidRDefault="00D12252" w:rsidP="009E5199">
      <w:pPr>
        <w:spacing w:line="240" w:lineRule="auto"/>
        <w:rPr>
          <w:rFonts w:ascii="Calibri Light" w:hAnsi="Calibri Light" w:cs="Calibri Light"/>
        </w:rPr>
      </w:pPr>
      <w:r w:rsidRPr="009E5199">
        <w:rPr>
          <w:rFonts w:ascii="Calibri Light" w:hAnsi="Calibri Light" w:cs="Calibri Light"/>
        </w:rPr>
        <w:t>L</w:t>
      </w:r>
      <w:r w:rsidR="00C00FE5" w:rsidRPr="009E5199">
        <w:rPr>
          <w:rFonts w:ascii="Calibri Light" w:hAnsi="Calibri Light" w:cs="Calibri Light"/>
        </w:rPr>
        <w:t xml:space="preserve">a journée sera consacrée </w:t>
      </w:r>
      <w:r w:rsidR="001D5EC9">
        <w:rPr>
          <w:rFonts w:ascii="Calibri Light" w:hAnsi="Calibri Light" w:cs="Calibri Light"/>
        </w:rPr>
        <w:t xml:space="preserve">à la négociation collective en période d’inflation. Les difficultés engendrées par la </w:t>
      </w:r>
      <w:r w:rsidR="00966BEE">
        <w:rPr>
          <w:rFonts w:ascii="Calibri Light" w:hAnsi="Calibri Light" w:cs="Calibri Light"/>
        </w:rPr>
        <w:t xml:space="preserve">récente </w:t>
      </w:r>
      <w:r w:rsidR="001D5EC9">
        <w:rPr>
          <w:rFonts w:ascii="Calibri Light" w:hAnsi="Calibri Light" w:cs="Calibri Light"/>
        </w:rPr>
        <w:t xml:space="preserve">période d’inflation </w:t>
      </w:r>
      <w:r w:rsidR="002561A0">
        <w:rPr>
          <w:rFonts w:ascii="Calibri Light" w:hAnsi="Calibri Light" w:cs="Calibri Light"/>
        </w:rPr>
        <w:t>invitent</w:t>
      </w:r>
      <w:r w:rsidR="001D5EC9">
        <w:rPr>
          <w:rFonts w:ascii="Calibri Light" w:hAnsi="Calibri Light" w:cs="Calibri Light"/>
        </w:rPr>
        <w:t xml:space="preserve"> à </w:t>
      </w:r>
      <w:r w:rsidR="002561A0">
        <w:rPr>
          <w:rFonts w:ascii="Calibri Light" w:hAnsi="Calibri Light" w:cs="Calibri Light"/>
        </w:rPr>
        <w:t>re</w:t>
      </w:r>
      <w:r w:rsidR="001D5EC9">
        <w:rPr>
          <w:rFonts w:ascii="Calibri Light" w:hAnsi="Calibri Light" w:cs="Calibri Light"/>
        </w:rPr>
        <w:t>penser la place particulière de la négociation collective</w:t>
      </w:r>
      <w:r w:rsidR="002561A0">
        <w:rPr>
          <w:rFonts w:ascii="Calibri Light" w:hAnsi="Calibri Light" w:cs="Calibri Light"/>
        </w:rPr>
        <w:t xml:space="preserve">. </w:t>
      </w:r>
    </w:p>
    <w:p w14:paraId="29E34371" w14:textId="77777777" w:rsidR="0087761D" w:rsidRDefault="0087761D" w:rsidP="009E5199">
      <w:pPr>
        <w:spacing w:line="240" w:lineRule="auto"/>
        <w:rPr>
          <w:rFonts w:ascii="Calibri Light" w:hAnsi="Calibri Light" w:cs="Calibri Light"/>
        </w:rPr>
      </w:pPr>
    </w:p>
    <w:p w14:paraId="4ED8AA19" w14:textId="77777777" w:rsidR="005324AC" w:rsidRPr="009E5199" w:rsidRDefault="00D12252" w:rsidP="000E78F2">
      <w:pPr>
        <w:spacing w:after="240" w:line="240" w:lineRule="auto"/>
        <w:rPr>
          <w:rFonts w:asciiTheme="minorHAnsi" w:hAnsiTheme="minorHAnsi" w:cstheme="minorHAnsi"/>
          <w:b/>
        </w:rPr>
      </w:pPr>
      <w:r w:rsidRPr="009E5199">
        <w:rPr>
          <w:rFonts w:asciiTheme="minorHAnsi" w:hAnsiTheme="minorHAnsi" w:cstheme="minorHAnsi"/>
          <w:b/>
        </w:rPr>
        <w:t>PROGRAMME :</w:t>
      </w:r>
    </w:p>
    <w:p w14:paraId="56D6861F" w14:textId="372D534E" w:rsidR="00B830D5" w:rsidRPr="00DA504F" w:rsidRDefault="00D12252" w:rsidP="009E5199">
      <w:pPr>
        <w:spacing w:line="240" w:lineRule="auto"/>
        <w:rPr>
          <w:rFonts w:ascii="Calibri Light" w:hAnsi="Calibri Light" w:cs="Calibri Light"/>
        </w:rPr>
      </w:pPr>
      <w:r w:rsidRPr="00DA504F">
        <w:rPr>
          <w:rFonts w:ascii="Calibri Light" w:hAnsi="Calibri Light" w:cs="Calibri Light"/>
        </w:rPr>
        <w:t>La journée d’information-sensibilisation se déroulera</w:t>
      </w:r>
      <w:r w:rsidR="00C53A62" w:rsidRPr="00DA504F">
        <w:rPr>
          <w:rFonts w:ascii="Calibri Light" w:hAnsi="Calibri Light" w:cs="Calibri Light"/>
        </w:rPr>
        <w:t> </w:t>
      </w:r>
      <w:r w:rsidR="0056120F">
        <w:rPr>
          <w:rFonts w:ascii="Calibri Light" w:hAnsi="Calibri Light" w:cs="Calibri Light"/>
        </w:rPr>
        <w:t>jeudi 12 septembre 2024</w:t>
      </w:r>
      <w:r w:rsidRPr="00DA504F">
        <w:rPr>
          <w:rFonts w:ascii="Calibri Light" w:hAnsi="Calibri Light" w:cs="Calibri Light"/>
        </w:rPr>
        <w:t>, dans les locaux de l’Institut des sciences sociales du travail</w:t>
      </w:r>
      <w:r w:rsidR="007D0601">
        <w:rPr>
          <w:rFonts w:ascii="Calibri Light" w:hAnsi="Calibri Light" w:cs="Calibri Light"/>
        </w:rPr>
        <w:t xml:space="preserve"> (Univ. Paris 1)</w:t>
      </w:r>
      <w:r w:rsidRPr="00DA504F">
        <w:rPr>
          <w:rFonts w:ascii="Calibri Light" w:hAnsi="Calibri Light" w:cs="Calibri Light"/>
        </w:rPr>
        <w:t>, à Bourg-la-Reine (</w:t>
      </w:r>
      <w:r w:rsidR="007806CF">
        <w:rPr>
          <w:rFonts w:ascii="Calibri Light" w:hAnsi="Calibri Light" w:cs="Calibri Light"/>
        </w:rPr>
        <w:t xml:space="preserve">dans la </w:t>
      </w:r>
      <w:r w:rsidRPr="00DA504F">
        <w:rPr>
          <w:rFonts w:ascii="Calibri Light" w:hAnsi="Calibri Light" w:cs="Calibri Light"/>
        </w:rPr>
        <w:t>salle Marcel David). Elle débutera à 9 heures 30 et se terminera à 17 heures.</w:t>
      </w:r>
    </w:p>
    <w:p w14:paraId="1446BD3D" w14:textId="0BCCCB8E" w:rsidR="00B830D5" w:rsidRDefault="00B830D5" w:rsidP="009E5199">
      <w:pPr>
        <w:spacing w:line="240" w:lineRule="auto"/>
        <w:rPr>
          <w:rFonts w:ascii="Calibri Light" w:hAnsi="Calibri Light" w:cs="Calibri Light"/>
        </w:rPr>
      </w:pPr>
    </w:p>
    <w:p w14:paraId="6E14354F" w14:textId="77777777" w:rsidR="005175CC" w:rsidRDefault="005175CC" w:rsidP="005175CC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La journée sera articulée autour des problématiques économiques et des problématiques juridiques induites par l’inflation : </w:t>
      </w:r>
    </w:p>
    <w:p w14:paraId="184DFA62" w14:textId="77777777" w:rsidR="005175CC" w:rsidRDefault="005175CC" w:rsidP="005175CC">
      <w:pPr>
        <w:pStyle w:val="Paragraphedeliste"/>
        <w:numPr>
          <w:ilvl w:val="0"/>
          <w:numId w:val="5"/>
        </w:num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La</w:t>
      </w:r>
      <w:r w:rsidRPr="005175CC">
        <w:rPr>
          <w:rFonts w:ascii="Calibri Light" w:hAnsi="Calibri Light" w:cs="Calibri Light"/>
          <w:b/>
          <w:bCs/>
        </w:rPr>
        <w:t xml:space="preserve"> matinée</w:t>
      </w:r>
      <w:r>
        <w:rPr>
          <w:rFonts w:ascii="Calibri Light" w:hAnsi="Calibri Light" w:cs="Calibri Light"/>
        </w:rPr>
        <w:t xml:space="preserve"> sera consacrée aux questions économiques. </w:t>
      </w:r>
      <w:r w:rsidRPr="002561A0">
        <w:rPr>
          <w:rFonts w:ascii="Calibri Light" w:hAnsi="Calibri Light" w:cs="Calibri Light"/>
        </w:rPr>
        <w:t>Après avoir expliqué les causes</w:t>
      </w:r>
      <w:r>
        <w:rPr>
          <w:rFonts w:ascii="Calibri Light" w:hAnsi="Calibri Light" w:cs="Calibri Light"/>
        </w:rPr>
        <w:t xml:space="preserve"> de l’inflation et décrit les différents outils permettant de la mesurer, on s’intéressera à son </w:t>
      </w:r>
      <w:r w:rsidRPr="002561A0">
        <w:rPr>
          <w:rFonts w:ascii="Calibri Light" w:hAnsi="Calibri Light" w:cs="Calibri Light"/>
        </w:rPr>
        <w:t xml:space="preserve">évolution récente et </w:t>
      </w:r>
      <w:r>
        <w:rPr>
          <w:rFonts w:ascii="Calibri Light" w:hAnsi="Calibri Light" w:cs="Calibri Light"/>
        </w:rPr>
        <w:t xml:space="preserve">des </w:t>
      </w:r>
      <w:r w:rsidRPr="002561A0">
        <w:rPr>
          <w:rFonts w:ascii="Calibri Light" w:hAnsi="Calibri Light" w:cs="Calibri Light"/>
        </w:rPr>
        <w:t xml:space="preserve">pistes </w:t>
      </w:r>
      <w:r>
        <w:rPr>
          <w:rFonts w:ascii="Calibri Light" w:hAnsi="Calibri Light" w:cs="Calibri Light"/>
        </w:rPr>
        <w:t>seront évoquées</w:t>
      </w:r>
      <w:r w:rsidRPr="0056120F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concernant les</w:t>
      </w:r>
      <w:r w:rsidRPr="002561A0">
        <w:rPr>
          <w:rFonts w:ascii="Calibri Light" w:hAnsi="Calibri Light" w:cs="Calibri Light"/>
        </w:rPr>
        <w:t xml:space="preserve"> négociation</w:t>
      </w:r>
      <w:r>
        <w:rPr>
          <w:rFonts w:ascii="Calibri Light" w:hAnsi="Calibri Light" w:cs="Calibri Light"/>
        </w:rPr>
        <w:t>s. Dans un second temps, on dressera un panorama européen de l’application du p</w:t>
      </w:r>
      <w:r w:rsidRPr="002561A0">
        <w:rPr>
          <w:rFonts w:ascii="Calibri Light" w:hAnsi="Calibri Light" w:cs="Calibri Light"/>
        </w:rPr>
        <w:t>rincipe de non</w:t>
      </w:r>
      <w:r>
        <w:rPr>
          <w:rFonts w:ascii="Calibri Light" w:hAnsi="Calibri Light" w:cs="Calibri Light"/>
        </w:rPr>
        <w:t>-</w:t>
      </w:r>
      <w:r w:rsidRPr="002561A0">
        <w:rPr>
          <w:rFonts w:ascii="Calibri Light" w:hAnsi="Calibri Light" w:cs="Calibri Light"/>
        </w:rPr>
        <w:t>indexation du salaire sur les prix</w:t>
      </w:r>
      <w:r>
        <w:rPr>
          <w:rFonts w:ascii="Calibri Light" w:hAnsi="Calibri Light" w:cs="Calibri Light"/>
        </w:rPr>
        <w:t xml:space="preserve"> et on proposera une réflexion sur les fondements de ce principe.</w:t>
      </w:r>
    </w:p>
    <w:p w14:paraId="028B3DA0" w14:textId="77777777" w:rsidR="005175CC" w:rsidRPr="00640164" w:rsidRDefault="005175CC" w:rsidP="005175CC">
      <w:pPr>
        <w:pStyle w:val="Paragraphedeliste"/>
        <w:spacing w:line="240" w:lineRule="auto"/>
        <w:rPr>
          <w:rFonts w:ascii="Calibri Light" w:hAnsi="Calibri Light" w:cs="Calibri Light"/>
        </w:rPr>
      </w:pPr>
      <w:r w:rsidRPr="00640164">
        <w:rPr>
          <w:rFonts w:ascii="Calibri Light" w:hAnsi="Calibri Light" w:cs="Calibri Light"/>
        </w:rPr>
        <w:t xml:space="preserve"> </w:t>
      </w:r>
    </w:p>
    <w:p w14:paraId="32C7C332" w14:textId="77777777" w:rsidR="005175CC" w:rsidRPr="006D7B62" w:rsidRDefault="005175CC" w:rsidP="005175CC">
      <w:pPr>
        <w:pStyle w:val="Paragraphedeliste"/>
        <w:numPr>
          <w:ilvl w:val="0"/>
          <w:numId w:val="5"/>
        </w:numPr>
        <w:spacing w:line="240" w:lineRule="auto"/>
        <w:rPr>
          <w:rFonts w:ascii="Calibri Light" w:hAnsi="Calibri Light" w:cs="Calibri Light"/>
        </w:rPr>
      </w:pPr>
      <w:r w:rsidRPr="006D7B62">
        <w:rPr>
          <w:rFonts w:ascii="Calibri Light" w:hAnsi="Calibri Light" w:cs="Calibri Light"/>
        </w:rPr>
        <w:t>L’</w:t>
      </w:r>
      <w:r w:rsidRPr="005175CC">
        <w:rPr>
          <w:rFonts w:ascii="Calibri Light" w:hAnsi="Calibri Light" w:cs="Calibri Light"/>
          <w:b/>
          <w:bCs/>
        </w:rPr>
        <w:t xml:space="preserve">après-midi </w:t>
      </w:r>
      <w:r w:rsidRPr="006D7B62">
        <w:rPr>
          <w:rFonts w:ascii="Calibri Light" w:hAnsi="Calibri Light" w:cs="Calibri Light"/>
        </w:rPr>
        <w:t>sera consacrée aux questions juridiques. Dans un premier temps, la problématique sera illustrée par des négociations récente</w:t>
      </w:r>
      <w:r>
        <w:rPr>
          <w:rFonts w:ascii="Calibri Light" w:hAnsi="Calibri Light" w:cs="Calibri Light"/>
        </w:rPr>
        <w:t>s</w:t>
      </w:r>
      <w:r w:rsidRPr="006D7B62">
        <w:rPr>
          <w:rFonts w:ascii="Calibri Light" w:hAnsi="Calibri Light" w:cs="Calibri Light"/>
        </w:rPr>
        <w:t xml:space="preserve"> afin de montrer comment les acteurs se sont emparés de la question de la négociation collective en période d’inflation.</w:t>
      </w:r>
      <w:r>
        <w:rPr>
          <w:rFonts w:ascii="Calibri Light" w:hAnsi="Calibri Light" w:cs="Calibri Light"/>
        </w:rPr>
        <w:t xml:space="preserve"> Dans un second temps, la question des sanctions, tant pénales qu’administratives, sera abordée</w:t>
      </w:r>
      <w:r w:rsidRPr="006D7B62">
        <w:rPr>
          <w:rFonts w:ascii="Calibri Light" w:hAnsi="Calibri Light" w:cs="Calibri Light"/>
        </w:rPr>
        <w:t>.</w:t>
      </w:r>
    </w:p>
    <w:p w14:paraId="4AA9C5C0" w14:textId="77777777" w:rsidR="005175CC" w:rsidRPr="00DA504F" w:rsidRDefault="005175CC" w:rsidP="009E5199">
      <w:pPr>
        <w:spacing w:line="240" w:lineRule="auto"/>
        <w:rPr>
          <w:rFonts w:ascii="Calibri Light" w:hAnsi="Calibri Light" w:cs="Calibri Light"/>
        </w:rPr>
      </w:pPr>
    </w:p>
    <w:sectPr w:rsidR="005175CC" w:rsidRPr="00DA504F" w:rsidSect="00125AD2">
      <w:headerReference w:type="default" r:id="rId9"/>
      <w:footerReference w:type="even" r:id="rId10"/>
      <w:footerReference w:type="default" r:id="rId11"/>
      <w:pgSz w:w="11906" w:h="16838"/>
      <w:pgMar w:top="851" w:right="851" w:bottom="851" w:left="851" w:header="142" w:footer="5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DC331" w14:textId="77777777" w:rsidR="00CB3C0C" w:rsidRDefault="00CB3C0C">
      <w:pPr>
        <w:spacing w:line="240" w:lineRule="auto"/>
      </w:pPr>
      <w:r>
        <w:separator/>
      </w:r>
    </w:p>
  </w:endnote>
  <w:endnote w:type="continuationSeparator" w:id="0">
    <w:p w14:paraId="2300BD6C" w14:textId="77777777" w:rsidR="00CB3C0C" w:rsidRDefault="00CB3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DokChamp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6620034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8FD6FE" w14:textId="77777777" w:rsidR="00C762A7" w:rsidRDefault="00C762A7" w:rsidP="00D7678D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C377F0D" w14:textId="77777777" w:rsidR="00C762A7" w:rsidRDefault="00C762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30527331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48D48B5" w14:textId="5BA395DB" w:rsidR="00C762A7" w:rsidRDefault="00C762A7" w:rsidP="00C762A7">
        <w:pPr>
          <w:pStyle w:val="Pieddepage"/>
          <w:framePr w:wrap="notBesid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2699B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4B2B3CCB" w14:textId="77777777" w:rsidR="00D12252" w:rsidRPr="003B7D03" w:rsidRDefault="00D12252">
    <w:pPr>
      <w:pStyle w:val="Pieddepage1"/>
      <w:jc w:val="center"/>
      <w:rPr>
        <w:i/>
        <w:color w:val="A6A6A6" w:themeColor="background1" w:themeShade="A6"/>
        <w:sz w:val="16"/>
      </w:rPr>
    </w:pPr>
    <w:r w:rsidRPr="003B7D03">
      <w:rPr>
        <w:i/>
        <w:color w:val="A6A6A6" w:themeColor="background1" w:themeShade="A6"/>
        <w:sz w:val="16"/>
      </w:rPr>
      <w:t>I.S.S.T., Université Paris 1 Panthéon Sorbonne</w:t>
    </w:r>
  </w:p>
  <w:p w14:paraId="18BF4B88" w14:textId="02534AD4" w:rsidR="00D12252" w:rsidRDefault="00D12252" w:rsidP="00C92269">
    <w:pPr>
      <w:pStyle w:val="Pieddepage1"/>
      <w:jc w:val="center"/>
    </w:pPr>
    <w:r w:rsidRPr="003B7D03">
      <w:rPr>
        <w:i/>
        <w:color w:val="A6A6A6" w:themeColor="background1" w:themeShade="A6"/>
        <w:sz w:val="16"/>
      </w:rPr>
      <w:t xml:space="preserve">16 Bd Carnot, 92340 BOURG-LA-REINE -  </w:t>
    </w:r>
    <w:r w:rsidR="00C92269" w:rsidRPr="00C92269">
      <w:rPr>
        <w:i/>
        <w:color w:val="A6A6A6" w:themeColor="background1" w:themeShade="A6"/>
        <w:sz w:val="16"/>
      </w:rPr>
      <w:t>https://isst.pantheonsorbonne.fr/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0A366" w14:textId="77777777" w:rsidR="00CB3C0C" w:rsidRDefault="00CB3C0C">
      <w:pPr>
        <w:spacing w:line="240" w:lineRule="auto"/>
      </w:pPr>
      <w:r>
        <w:separator/>
      </w:r>
    </w:p>
  </w:footnote>
  <w:footnote w:type="continuationSeparator" w:id="0">
    <w:p w14:paraId="740A1049" w14:textId="77777777" w:rsidR="00CB3C0C" w:rsidRDefault="00CB3C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185AA" w14:textId="10B1B4D8" w:rsidR="00D12252" w:rsidRDefault="00D12252" w:rsidP="00125AD2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004A"/>
    <w:multiLevelType w:val="multilevel"/>
    <w:tmpl w:val="A93CD5D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3235DD"/>
    <w:multiLevelType w:val="hybridMultilevel"/>
    <w:tmpl w:val="4A4A7CA4"/>
    <w:lvl w:ilvl="0" w:tplc="5A968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09E8"/>
    <w:multiLevelType w:val="hybridMultilevel"/>
    <w:tmpl w:val="895406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E337B"/>
    <w:multiLevelType w:val="multilevel"/>
    <w:tmpl w:val="715437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5104AB1"/>
    <w:multiLevelType w:val="hybridMultilevel"/>
    <w:tmpl w:val="79BEE99E"/>
    <w:lvl w:ilvl="0" w:tplc="1602A0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39791">
    <w:abstractNumId w:val="0"/>
  </w:num>
  <w:num w:numId="2" w16cid:durableId="1975287348">
    <w:abstractNumId w:val="3"/>
  </w:num>
  <w:num w:numId="3" w16cid:durableId="1086656553">
    <w:abstractNumId w:val="4"/>
  </w:num>
  <w:num w:numId="4" w16cid:durableId="635336642">
    <w:abstractNumId w:val="1"/>
  </w:num>
  <w:num w:numId="5" w16cid:durableId="1677657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4AC"/>
    <w:rsid w:val="0000660F"/>
    <w:rsid w:val="00012001"/>
    <w:rsid w:val="000158B7"/>
    <w:rsid w:val="0002333C"/>
    <w:rsid w:val="00072282"/>
    <w:rsid w:val="00075F72"/>
    <w:rsid w:val="00083891"/>
    <w:rsid w:val="00093C02"/>
    <w:rsid w:val="0009496C"/>
    <w:rsid w:val="000A4AAD"/>
    <w:rsid w:val="000B4688"/>
    <w:rsid w:val="000C7AD8"/>
    <w:rsid w:val="000D1E80"/>
    <w:rsid w:val="000D3572"/>
    <w:rsid w:val="000D7F67"/>
    <w:rsid w:val="000E31C0"/>
    <w:rsid w:val="000E34F5"/>
    <w:rsid w:val="000E78F2"/>
    <w:rsid w:val="00110ABE"/>
    <w:rsid w:val="00125AD2"/>
    <w:rsid w:val="00141514"/>
    <w:rsid w:val="0014475A"/>
    <w:rsid w:val="0018104A"/>
    <w:rsid w:val="001857DD"/>
    <w:rsid w:val="001A0C02"/>
    <w:rsid w:val="001A79C7"/>
    <w:rsid w:val="001B2708"/>
    <w:rsid w:val="001D5EC9"/>
    <w:rsid w:val="001F18F6"/>
    <w:rsid w:val="002123BF"/>
    <w:rsid w:val="00224944"/>
    <w:rsid w:val="0022692E"/>
    <w:rsid w:val="00231631"/>
    <w:rsid w:val="00237F78"/>
    <w:rsid w:val="002561A0"/>
    <w:rsid w:val="0027491E"/>
    <w:rsid w:val="00274D4A"/>
    <w:rsid w:val="002824AD"/>
    <w:rsid w:val="00285DE7"/>
    <w:rsid w:val="002A7C4F"/>
    <w:rsid w:val="002B4329"/>
    <w:rsid w:val="002C2260"/>
    <w:rsid w:val="002C4A6D"/>
    <w:rsid w:val="002D525B"/>
    <w:rsid w:val="002E29D3"/>
    <w:rsid w:val="002F353D"/>
    <w:rsid w:val="00354A92"/>
    <w:rsid w:val="003629B4"/>
    <w:rsid w:val="003646B8"/>
    <w:rsid w:val="00372A35"/>
    <w:rsid w:val="00376ECF"/>
    <w:rsid w:val="0038649C"/>
    <w:rsid w:val="00395D39"/>
    <w:rsid w:val="00397244"/>
    <w:rsid w:val="003B1D87"/>
    <w:rsid w:val="003B7D03"/>
    <w:rsid w:val="003D49AC"/>
    <w:rsid w:val="003D6977"/>
    <w:rsid w:val="003F0332"/>
    <w:rsid w:val="003F096E"/>
    <w:rsid w:val="003F4739"/>
    <w:rsid w:val="003F4B6D"/>
    <w:rsid w:val="00412FD4"/>
    <w:rsid w:val="0041693E"/>
    <w:rsid w:val="00422567"/>
    <w:rsid w:val="00434B43"/>
    <w:rsid w:val="004544D2"/>
    <w:rsid w:val="00455B4B"/>
    <w:rsid w:val="0046574D"/>
    <w:rsid w:val="00467EA6"/>
    <w:rsid w:val="00470529"/>
    <w:rsid w:val="00491BAD"/>
    <w:rsid w:val="0049669C"/>
    <w:rsid w:val="004A1CA1"/>
    <w:rsid w:val="004E4D10"/>
    <w:rsid w:val="004F1A5C"/>
    <w:rsid w:val="005175CC"/>
    <w:rsid w:val="0052699B"/>
    <w:rsid w:val="005324AC"/>
    <w:rsid w:val="00534974"/>
    <w:rsid w:val="0053504B"/>
    <w:rsid w:val="00536526"/>
    <w:rsid w:val="00540532"/>
    <w:rsid w:val="00552611"/>
    <w:rsid w:val="00554A39"/>
    <w:rsid w:val="0056120F"/>
    <w:rsid w:val="00570E7F"/>
    <w:rsid w:val="005738AC"/>
    <w:rsid w:val="00580B47"/>
    <w:rsid w:val="005A6810"/>
    <w:rsid w:val="005B666D"/>
    <w:rsid w:val="005C7EF9"/>
    <w:rsid w:val="005D02BC"/>
    <w:rsid w:val="005D4168"/>
    <w:rsid w:val="005E76BF"/>
    <w:rsid w:val="00602385"/>
    <w:rsid w:val="00606687"/>
    <w:rsid w:val="00611177"/>
    <w:rsid w:val="00611DDE"/>
    <w:rsid w:val="0061619B"/>
    <w:rsid w:val="006238BC"/>
    <w:rsid w:val="0062707E"/>
    <w:rsid w:val="00640164"/>
    <w:rsid w:val="00641776"/>
    <w:rsid w:val="0067361A"/>
    <w:rsid w:val="00683AA9"/>
    <w:rsid w:val="00683AC9"/>
    <w:rsid w:val="0068644D"/>
    <w:rsid w:val="00693153"/>
    <w:rsid w:val="00697A8A"/>
    <w:rsid w:val="006A271A"/>
    <w:rsid w:val="006B1A3E"/>
    <w:rsid w:val="006B22EF"/>
    <w:rsid w:val="006B3F73"/>
    <w:rsid w:val="006B3F99"/>
    <w:rsid w:val="006B49C3"/>
    <w:rsid w:val="006C469D"/>
    <w:rsid w:val="006C5BA8"/>
    <w:rsid w:val="006C7D44"/>
    <w:rsid w:val="006D7B62"/>
    <w:rsid w:val="006E59DB"/>
    <w:rsid w:val="006F0BDE"/>
    <w:rsid w:val="006F70B5"/>
    <w:rsid w:val="00706D2A"/>
    <w:rsid w:val="00710863"/>
    <w:rsid w:val="0071633C"/>
    <w:rsid w:val="00716A68"/>
    <w:rsid w:val="0072700B"/>
    <w:rsid w:val="00731EFB"/>
    <w:rsid w:val="00766112"/>
    <w:rsid w:val="007806CF"/>
    <w:rsid w:val="00796DA0"/>
    <w:rsid w:val="007A207D"/>
    <w:rsid w:val="007B32E7"/>
    <w:rsid w:val="007B359A"/>
    <w:rsid w:val="007C013A"/>
    <w:rsid w:val="007D0601"/>
    <w:rsid w:val="007E3777"/>
    <w:rsid w:val="007E4B60"/>
    <w:rsid w:val="007F2AC4"/>
    <w:rsid w:val="008044F4"/>
    <w:rsid w:val="00823B57"/>
    <w:rsid w:val="00837668"/>
    <w:rsid w:val="00874C9D"/>
    <w:rsid w:val="0087761D"/>
    <w:rsid w:val="008A17B9"/>
    <w:rsid w:val="008A7206"/>
    <w:rsid w:val="008B004C"/>
    <w:rsid w:val="008B185C"/>
    <w:rsid w:val="008C2D32"/>
    <w:rsid w:val="008D2C93"/>
    <w:rsid w:val="008E0E4C"/>
    <w:rsid w:val="00912129"/>
    <w:rsid w:val="009308D8"/>
    <w:rsid w:val="00941318"/>
    <w:rsid w:val="00950C1E"/>
    <w:rsid w:val="00955136"/>
    <w:rsid w:val="00966BEE"/>
    <w:rsid w:val="00981C3D"/>
    <w:rsid w:val="009858C5"/>
    <w:rsid w:val="00992B42"/>
    <w:rsid w:val="009B02FD"/>
    <w:rsid w:val="009B5DD8"/>
    <w:rsid w:val="009D355F"/>
    <w:rsid w:val="009E5199"/>
    <w:rsid w:val="009F4D85"/>
    <w:rsid w:val="009F5C6E"/>
    <w:rsid w:val="009F658A"/>
    <w:rsid w:val="00A14840"/>
    <w:rsid w:val="00A2595F"/>
    <w:rsid w:val="00A31BB4"/>
    <w:rsid w:val="00A36E6D"/>
    <w:rsid w:val="00A5088C"/>
    <w:rsid w:val="00A57E3B"/>
    <w:rsid w:val="00A66E4E"/>
    <w:rsid w:val="00A7022E"/>
    <w:rsid w:val="00A7347C"/>
    <w:rsid w:val="00AB772D"/>
    <w:rsid w:val="00AC4C7D"/>
    <w:rsid w:val="00AD0E45"/>
    <w:rsid w:val="00AD1680"/>
    <w:rsid w:val="00AE1506"/>
    <w:rsid w:val="00B023D8"/>
    <w:rsid w:val="00B0795F"/>
    <w:rsid w:val="00B15656"/>
    <w:rsid w:val="00B255C7"/>
    <w:rsid w:val="00B544F2"/>
    <w:rsid w:val="00B550FD"/>
    <w:rsid w:val="00B75DAF"/>
    <w:rsid w:val="00B830D5"/>
    <w:rsid w:val="00B94592"/>
    <w:rsid w:val="00BA292E"/>
    <w:rsid w:val="00BB5E16"/>
    <w:rsid w:val="00BC41B1"/>
    <w:rsid w:val="00BD47BE"/>
    <w:rsid w:val="00BD5EFB"/>
    <w:rsid w:val="00BF7774"/>
    <w:rsid w:val="00C00FE5"/>
    <w:rsid w:val="00C10F14"/>
    <w:rsid w:val="00C1192C"/>
    <w:rsid w:val="00C53A62"/>
    <w:rsid w:val="00C57A25"/>
    <w:rsid w:val="00C621BB"/>
    <w:rsid w:val="00C762A7"/>
    <w:rsid w:val="00C77A57"/>
    <w:rsid w:val="00C92269"/>
    <w:rsid w:val="00CB3C0C"/>
    <w:rsid w:val="00CC0E9A"/>
    <w:rsid w:val="00CE13DF"/>
    <w:rsid w:val="00CE2F4F"/>
    <w:rsid w:val="00CE34FF"/>
    <w:rsid w:val="00CE6FED"/>
    <w:rsid w:val="00CF2237"/>
    <w:rsid w:val="00D12252"/>
    <w:rsid w:val="00D23D6F"/>
    <w:rsid w:val="00D31C29"/>
    <w:rsid w:val="00D67D5A"/>
    <w:rsid w:val="00D71C83"/>
    <w:rsid w:val="00D779A6"/>
    <w:rsid w:val="00DA504F"/>
    <w:rsid w:val="00DE46D1"/>
    <w:rsid w:val="00DE561D"/>
    <w:rsid w:val="00DF6660"/>
    <w:rsid w:val="00E059A0"/>
    <w:rsid w:val="00E30E84"/>
    <w:rsid w:val="00E671EA"/>
    <w:rsid w:val="00E92575"/>
    <w:rsid w:val="00E9308B"/>
    <w:rsid w:val="00EA3991"/>
    <w:rsid w:val="00EB1102"/>
    <w:rsid w:val="00F0411C"/>
    <w:rsid w:val="00F045D2"/>
    <w:rsid w:val="00F054BC"/>
    <w:rsid w:val="00F402D3"/>
    <w:rsid w:val="00F41CEB"/>
    <w:rsid w:val="00F420DE"/>
    <w:rsid w:val="00F44CA2"/>
    <w:rsid w:val="00F809D4"/>
    <w:rsid w:val="00F9454B"/>
    <w:rsid w:val="00F96F1D"/>
    <w:rsid w:val="00FA43EF"/>
    <w:rsid w:val="00FB4E95"/>
    <w:rsid w:val="00FD1125"/>
    <w:rsid w:val="00FE10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BF07FA"/>
  <w15:docId w15:val="{1DC84790-41BD-8242-88BD-BE001BE9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47C"/>
    <w:pPr>
      <w:spacing w:line="36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1">
    <w:name w:val="Titre 21"/>
    <w:basedOn w:val="Normal"/>
    <w:next w:val="Normal"/>
    <w:link w:val="Titre2Car"/>
    <w:qFormat/>
    <w:rsid w:val="00FB140A"/>
    <w:pPr>
      <w:keepNext/>
      <w:jc w:val="center"/>
      <w:outlineLvl w:val="1"/>
    </w:pPr>
    <w:rPr>
      <w:b/>
    </w:rPr>
  </w:style>
  <w:style w:type="character" w:customStyle="1" w:styleId="Titre2Car">
    <w:name w:val="Titre 2 Car"/>
    <w:basedOn w:val="Policepardfaut"/>
    <w:link w:val="Titre21"/>
    <w:qFormat/>
    <w:rsid w:val="00FB140A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qFormat/>
    <w:rsid w:val="00FB140A"/>
    <w:rPr>
      <w:rFonts w:ascii="Times" w:eastAsia="Times New Roman" w:hAnsi="Times" w:cs="Times New Roman"/>
      <w:sz w:val="24"/>
      <w:szCs w:val="20"/>
      <w:lang w:eastAsia="fr-FR"/>
    </w:rPr>
  </w:style>
  <w:style w:type="character" w:customStyle="1" w:styleId="PieddepageCar">
    <w:name w:val="Pied de page Car"/>
    <w:basedOn w:val="Policepardfaut"/>
    <w:link w:val="Pieddepage1"/>
    <w:uiPriority w:val="99"/>
    <w:qFormat/>
    <w:rsid w:val="00DF46F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uiPriority w:val="99"/>
    <w:semiHidden/>
    <w:unhideWhenUsed/>
    <w:qFormat/>
    <w:rsid w:val="00DF46F9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97629"/>
    <w:rPr>
      <w:rFonts w:ascii="Lucida Grande" w:eastAsia="Times New Roman" w:hAnsi="Lucida Grande" w:cs="Lucida Grande"/>
      <w:sz w:val="18"/>
      <w:szCs w:val="18"/>
      <w:lang w:eastAsia="fr-FR"/>
    </w:rPr>
  </w:style>
  <w:style w:type="character" w:customStyle="1" w:styleId="En-tteCar">
    <w:name w:val="En-tête Car"/>
    <w:basedOn w:val="Policepardfaut"/>
    <w:uiPriority w:val="99"/>
    <w:qFormat/>
    <w:rsid w:val="002E4944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xbe">
    <w:name w:val="_xbe"/>
    <w:basedOn w:val="Policepardfaut"/>
    <w:qFormat/>
    <w:rsid w:val="005B364C"/>
  </w:style>
  <w:style w:type="character" w:customStyle="1" w:styleId="NotedefinCar">
    <w:name w:val="Note de fin Car"/>
    <w:basedOn w:val="Policepardfaut"/>
    <w:link w:val="Notedefin"/>
    <w:uiPriority w:val="99"/>
    <w:semiHidden/>
    <w:qFormat/>
    <w:rsid w:val="00D5721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qFormat/>
    <w:rsid w:val="00D5721D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D5721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D5721D"/>
    <w:rPr>
      <w:vertAlign w:val="superscript"/>
    </w:rPr>
  </w:style>
  <w:style w:type="character" w:customStyle="1" w:styleId="ListLabel1">
    <w:name w:val="ListLabel 1"/>
    <w:qFormat/>
    <w:rsid w:val="005324AC"/>
    <w:rPr>
      <w:rFonts w:eastAsia="Times New Roman" w:cs="Times New Roman"/>
      <w:b/>
    </w:rPr>
  </w:style>
  <w:style w:type="character" w:customStyle="1" w:styleId="ListLabel2">
    <w:name w:val="ListLabel 2"/>
    <w:qFormat/>
    <w:rsid w:val="005324AC"/>
    <w:rPr>
      <w:rFonts w:cs="Times New Roman"/>
      <w:b/>
    </w:rPr>
  </w:style>
  <w:style w:type="character" w:customStyle="1" w:styleId="ListLabel3">
    <w:name w:val="ListLabel 3"/>
    <w:qFormat/>
    <w:rsid w:val="005324AC"/>
    <w:rPr>
      <w:rFonts w:cs="Courier New"/>
    </w:rPr>
  </w:style>
  <w:style w:type="character" w:customStyle="1" w:styleId="ListLabel4">
    <w:name w:val="ListLabel 4"/>
    <w:qFormat/>
    <w:rsid w:val="005324AC"/>
    <w:rPr>
      <w:rFonts w:cs="Wingdings"/>
    </w:rPr>
  </w:style>
  <w:style w:type="character" w:customStyle="1" w:styleId="ListLabel5">
    <w:name w:val="ListLabel 5"/>
    <w:qFormat/>
    <w:rsid w:val="005324AC"/>
    <w:rPr>
      <w:rFonts w:cs="Symbol"/>
    </w:rPr>
  </w:style>
  <w:style w:type="character" w:customStyle="1" w:styleId="ListLabel6">
    <w:name w:val="ListLabel 6"/>
    <w:qFormat/>
    <w:rsid w:val="005324AC"/>
    <w:rPr>
      <w:rFonts w:cs="Courier New"/>
    </w:rPr>
  </w:style>
  <w:style w:type="character" w:customStyle="1" w:styleId="ListLabel7">
    <w:name w:val="ListLabel 7"/>
    <w:qFormat/>
    <w:rsid w:val="005324AC"/>
    <w:rPr>
      <w:rFonts w:cs="Wingdings"/>
    </w:rPr>
  </w:style>
  <w:style w:type="character" w:customStyle="1" w:styleId="ListLabel8">
    <w:name w:val="ListLabel 8"/>
    <w:qFormat/>
    <w:rsid w:val="005324AC"/>
    <w:rPr>
      <w:rFonts w:cs="Symbol"/>
    </w:rPr>
  </w:style>
  <w:style w:type="character" w:customStyle="1" w:styleId="ListLabel9">
    <w:name w:val="ListLabel 9"/>
    <w:qFormat/>
    <w:rsid w:val="005324AC"/>
    <w:rPr>
      <w:rFonts w:cs="Courier New"/>
    </w:rPr>
  </w:style>
  <w:style w:type="character" w:customStyle="1" w:styleId="ListLabel10">
    <w:name w:val="ListLabel 10"/>
    <w:qFormat/>
    <w:rsid w:val="005324AC"/>
    <w:rPr>
      <w:rFonts w:cs="Wingdings"/>
    </w:rPr>
  </w:style>
  <w:style w:type="paragraph" w:styleId="Titre">
    <w:name w:val="Title"/>
    <w:basedOn w:val="Normal"/>
    <w:next w:val="Corpsdetexte"/>
    <w:qFormat/>
    <w:rsid w:val="005324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rsid w:val="00FB140A"/>
    <w:pPr>
      <w:spacing w:line="240" w:lineRule="auto"/>
      <w:jc w:val="center"/>
    </w:pPr>
    <w:rPr>
      <w:rFonts w:ascii="Times" w:hAnsi="Times"/>
    </w:rPr>
  </w:style>
  <w:style w:type="paragraph" w:styleId="Liste">
    <w:name w:val="List"/>
    <w:basedOn w:val="Corpsdetexte"/>
    <w:rsid w:val="005324AC"/>
    <w:rPr>
      <w:rFonts w:cs="Arial"/>
    </w:rPr>
  </w:style>
  <w:style w:type="paragraph" w:customStyle="1" w:styleId="Lgende1">
    <w:name w:val="Légende1"/>
    <w:basedOn w:val="Normal"/>
    <w:qFormat/>
    <w:rsid w:val="005324A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rsid w:val="005324AC"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7A788E"/>
    <w:pPr>
      <w:ind w:left="720"/>
      <w:contextualSpacing/>
    </w:pPr>
  </w:style>
  <w:style w:type="paragraph" w:customStyle="1" w:styleId="Pieddepage1">
    <w:name w:val="Pied de page1"/>
    <w:basedOn w:val="Normal"/>
    <w:link w:val="PieddepageCar"/>
    <w:uiPriority w:val="99"/>
    <w:unhideWhenUsed/>
    <w:rsid w:val="00DF46F9"/>
    <w:pPr>
      <w:tabs>
        <w:tab w:val="center" w:pos="4536"/>
        <w:tab w:val="right" w:pos="9072"/>
      </w:tabs>
      <w:spacing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97629"/>
    <w:pPr>
      <w:spacing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En-tte1">
    <w:name w:val="En-tête1"/>
    <w:basedOn w:val="Normal"/>
    <w:uiPriority w:val="99"/>
    <w:unhideWhenUsed/>
    <w:rsid w:val="002E4944"/>
    <w:pPr>
      <w:tabs>
        <w:tab w:val="center" w:pos="4536"/>
        <w:tab w:val="right" w:pos="9072"/>
      </w:tabs>
      <w:spacing w:line="240" w:lineRule="auto"/>
    </w:pPr>
  </w:style>
  <w:style w:type="paragraph" w:styleId="Notedefin">
    <w:name w:val="endnote text"/>
    <w:basedOn w:val="Normal"/>
    <w:link w:val="NotedefinCar"/>
    <w:uiPriority w:val="99"/>
    <w:semiHidden/>
    <w:unhideWhenUsed/>
    <w:qFormat/>
    <w:rsid w:val="00D5721D"/>
    <w:pPr>
      <w:spacing w:line="240" w:lineRule="auto"/>
    </w:pPr>
    <w:rPr>
      <w:sz w:val="20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D5721D"/>
    <w:pPr>
      <w:spacing w:line="240" w:lineRule="auto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qFormat/>
    <w:rsid w:val="0006439F"/>
    <w:pPr>
      <w:spacing w:beforeAutospacing="1" w:afterAutospacing="1" w:line="240" w:lineRule="auto"/>
      <w:jc w:val="left"/>
    </w:pPr>
    <w:rPr>
      <w:rFonts w:eastAsiaTheme="minorHAnsi"/>
      <w:color w:val="000066"/>
      <w:szCs w:val="24"/>
    </w:rPr>
  </w:style>
  <w:style w:type="paragraph" w:styleId="En-tte">
    <w:name w:val="header"/>
    <w:basedOn w:val="Normal"/>
    <w:link w:val="En-tteCar1"/>
    <w:uiPriority w:val="99"/>
    <w:unhideWhenUsed/>
    <w:rsid w:val="003B7D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3B7D03"/>
    <w:rPr>
      <w:rFonts w:ascii="Times New Roman" w:eastAsia="Times New Roman" w:hAnsi="Times New Roman" w:cs="Times New Roman"/>
      <w:color w:val="00000A"/>
      <w:sz w:val="24"/>
      <w:szCs w:val="20"/>
      <w:lang w:eastAsia="fr-FR"/>
    </w:rPr>
  </w:style>
  <w:style w:type="paragraph" w:styleId="Pieddepage">
    <w:name w:val="footer"/>
    <w:basedOn w:val="Normal"/>
    <w:link w:val="PieddepageCar1"/>
    <w:uiPriority w:val="99"/>
    <w:unhideWhenUsed/>
    <w:rsid w:val="003B7D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rsid w:val="003B7D03"/>
    <w:rPr>
      <w:rFonts w:ascii="Times New Roman" w:eastAsia="Times New Roman" w:hAnsi="Times New Roman" w:cs="Times New Roman"/>
      <w:color w:val="00000A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A1CA1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A1CA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50C1E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269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699B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699B"/>
    <w:rPr>
      <w:rFonts w:ascii="Times New Roman" w:eastAsia="Times New Roman" w:hAnsi="Times New Roman" w:cs="Times New Roman"/>
      <w:color w:val="00000A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69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699B"/>
    <w:rPr>
      <w:rFonts w:ascii="Times New Roman" w:eastAsia="Times New Roman" w:hAnsi="Times New Roman" w:cs="Times New Roman"/>
      <w:b/>
      <w:bCs/>
      <w:color w:val="00000A"/>
      <w:szCs w:val="20"/>
      <w:lang w:eastAsia="fr-FR"/>
    </w:rPr>
  </w:style>
  <w:style w:type="paragraph" w:styleId="Rvision">
    <w:name w:val="Revision"/>
    <w:hidden/>
    <w:uiPriority w:val="99"/>
    <w:semiHidden/>
    <w:rsid w:val="005C7EF9"/>
    <w:rPr>
      <w:rFonts w:ascii="Times New Roman" w:eastAsia="Times New Roman" w:hAnsi="Times New Roman" w:cs="Times New Roman"/>
      <w:color w:val="00000A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FDE09-11FD-4103-B096-45C0B135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dc:description/>
  <cp:lastModifiedBy>Catherine Di Costanzo</cp:lastModifiedBy>
  <cp:revision>5</cp:revision>
  <cp:lastPrinted>2017-01-06T11:20:00Z</cp:lastPrinted>
  <dcterms:created xsi:type="dcterms:W3CDTF">2024-06-14T08:07:00Z</dcterms:created>
  <dcterms:modified xsi:type="dcterms:W3CDTF">2024-12-20T09:34:00Z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Université Paris 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5c20be7-c3a5-46e3-9158-fa8a02ce2395_Enabled">
    <vt:lpwstr>true</vt:lpwstr>
  </property>
  <property fmtid="{D5CDD505-2E9C-101B-9397-08002B2CF9AE}" pid="10" name="MSIP_Label_d5c20be7-c3a5-46e3-9158-fa8a02ce2395_SetDate">
    <vt:lpwstr>2023-09-20T08:28:20Z</vt:lpwstr>
  </property>
  <property fmtid="{D5CDD505-2E9C-101B-9397-08002B2CF9AE}" pid="11" name="MSIP_Label_d5c20be7-c3a5-46e3-9158-fa8a02ce2395_Method">
    <vt:lpwstr>Standard</vt:lpwstr>
  </property>
  <property fmtid="{D5CDD505-2E9C-101B-9397-08002B2CF9AE}" pid="12" name="MSIP_Label_d5c20be7-c3a5-46e3-9158-fa8a02ce2395_Name">
    <vt:lpwstr>defa4170-0d19-0005-0004-bc88714345d2</vt:lpwstr>
  </property>
  <property fmtid="{D5CDD505-2E9C-101B-9397-08002B2CF9AE}" pid="13" name="MSIP_Label_d5c20be7-c3a5-46e3-9158-fa8a02ce2395_SiteId">
    <vt:lpwstr>8c6f9078-037e-4261-a583-52a944e55f7f</vt:lpwstr>
  </property>
  <property fmtid="{D5CDD505-2E9C-101B-9397-08002B2CF9AE}" pid="14" name="MSIP_Label_d5c20be7-c3a5-46e3-9158-fa8a02ce2395_ActionId">
    <vt:lpwstr>6ebc619a-268d-4383-a45e-d0544e173837</vt:lpwstr>
  </property>
  <property fmtid="{D5CDD505-2E9C-101B-9397-08002B2CF9AE}" pid="15" name="MSIP_Label_d5c20be7-c3a5-46e3-9158-fa8a02ce2395_ContentBits">
    <vt:lpwstr>0</vt:lpwstr>
  </property>
</Properties>
</file>