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F9FD" w14:textId="79A6AAFC" w:rsidR="00FB140A" w:rsidRDefault="003B0450" w:rsidP="003B045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D6892DB" wp14:editId="5A9CB3BF">
            <wp:extent cx="2810510" cy="1065069"/>
            <wp:effectExtent l="0" t="0" r="889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1_IS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666" cy="106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43DE" w14:textId="77777777" w:rsidR="003B0450" w:rsidRDefault="003B0450" w:rsidP="003B0450">
      <w:pPr>
        <w:spacing w:line="240" w:lineRule="auto"/>
        <w:jc w:val="center"/>
        <w:rPr>
          <w:b/>
        </w:rPr>
      </w:pPr>
    </w:p>
    <w:p w14:paraId="38B56602" w14:textId="738C7BE3" w:rsidR="003B0450" w:rsidRDefault="00AE1A96" w:rsidP="003B0450">
      <w:pPr>
        <w:spacing w:line="240" w:lineRule="auto"/>
        <w:jc w:val="center"/>
        <w:rPr>
          <w:b/>
        </w:rPr>
      </w:pPr>
      <w:r>
        <w:rPr>
          <w:b/>
        </w:rPr>
        <w:t xml:space="preserve">STAGE </w:t>
      </w:r>
      <w:r w:rsidR="00314DA1">
        <w:rPr>
          <w:b/>
        </w:rPr>
        <w:t>CFDT</w:t>
      </w:r>
      <w:r w:rsidR="00C87368">
        <w:rPr>
          <w:b/>
        </w:rPr>
        <w:t xml:space="preserve"> </w:t>
      </w:r>
      <w:r w:rsidR="00190CE5">
        <w:rPr>
          <w:b/>
        </w:rPr>
        <w:t>LA LEGALITE DE LA PREUVE</w:t>
      </w:r>
    </w:p>
    <w:p w14:paraId="446D9473" w14:textId="01261D64" w:rsidR="00B97BF7" w:rsidRDefault="00B97BF7" w:rsidP="003B0450">
      <w:pPr>
        <w:spacing w:line="240" w:lineRule="auto"/>
        <w:jc w:val="center"/>
        <w:rPr>
          <w:b/>
        </w:rPr>
      </w:pPr>
    </w:p>
    <w:p w14:paraId="72925C40" w14:textId="3671E87C" w:rsidR="00FB140A" w:rsidRPr="00FB140A" w:rsidRDefault="00A53544" w:rsidP="00FB140A">
      <w:pPr>
        <w:spacing w:line="240" w:lineRule="auto"/>
        <w:jc w:val="center"/>
        <w:rPr>
          <w:b/>
        </w:rPr>
      </w:pPr>
      <w:r>
        <w:rPr>
          <w:b/>
        </w:rPr>
        <w:t>Christophe Vigneau</w:t>
      </w:r>
      <w:r w:rsidR="00D9170D">
        <w:rPr>
          <w:b/>
        </w:rPr>
        <w:t xml:space="preserve"> (Univ. Paris 1 - ISST),</w:t>
      </w:r>
      <w:r w:rsidR="00314DA1">
        <w:rPr>
          <w:b/>
        </w:rPr>
        <w:t xml:space="preserve"> Maud </w:t>
      </w:r>
      <w:r w:rsidR="00B97BF7">
        <w:rPr>
          <w:b/>
        </w:rPr>
        <w:t>Renaud (</w:t>
      </w:r>
      <w:r w:rsidR="00FB140A" w:rsidRPr="00FB140A">
        <w:rPr>
          <w:b/>
        </w:rPr>
        <w:t>C</w:t>
      </w:r>
      <w:r w:rsidR="000D691A">
        <w:rPr>
          <w:b/>
        </w:rPr>
        <w:t>FDT-IREFE</w:t>
      </w:r>
      <w:r w:rsidR="00D9170D">
        <w:rPr>
          <w:b/>
        </w:rPr>
        <w:t>)</w:t>
      </w:r>
    </w:p>
    <w:p w14:paraId="73EA009A" w14:textId="38E08D90" w:rsidR="00FB140A" w:rsidRDefault="00817967" w:rsidP="00FB140A">
      <w:pPr>
        <w:pStyle w:val="Titre2"/>
        <w:spacing w:line="240" w:lineRule="auto"/>
      </w:pPr>
      <w:r>
        <w:t xml:space="preserve">Date </w:t>
      </w:r>
      <w:r w:rsidR="00854D19">
        <w:t>10/11</w:t>
      </w:r>
      <w:r w:rsidR="00190CE5">
        <w:t>Octobre 2024</w:t>
      </w:r>
    </w:p>
    <w:p w14:paraId="35814AD7" w14:textId="77777777" w:rsidR="00314DA1" w:rsidRPr="00314DA1" w:rsidRDefault="00314DA1" w:rsidP="00314DA1"/>
    <w:tbl>
      <w:tblPr>
        <w:tblW w:w="6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2489"/>
        <w:gridCol w:w="2489"/>
      </w:tblGrid>
      <w:tr w:rsidR="00314DA1" w:rsidRPr="003B0450" w14:paraId="7735640A" w14:textId="12DC964D" w:rsidTr="00314DA1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90F0E" w14:textId="77777777" w:rsidR="00314DA1" w:rsidRPr="003B0450" w:rsidRDefault="00314DA1" w:rsidP="00E44A0E">
            <w:pPr>
              <w:spacing w:line="240" w:lineRule="auto"/>
              <w:ind w:left="103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034F00" w14:textId="462D6F21" w:rsidR="00314DA1" w:rsidRPr="003B0450" w:rsidRDefault="00854D19" w:rsidP="0081796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 10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ECC3C" w14:textId="4E08FC01" w:rsidR="00314DA1" w:rsidRDefault="00854D19" w:rsidP="00D11A8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Vendredi 11</w:t>
            </w:r>
          </w:p>
        </w:tc>
      </w:tr>
      <w:tr w:rsidR="00314DA1" w:rsidRPr="003B0450" w14:paraId="69FB3DB8" w14:textId="226DDF7B" w:rsidTr="00314DA1">
        <w:trPr>
          <w:trHeight w:val="1968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BDD2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9h</w:t>
            </w:r>
          </w:p>
          <w:p w14:paraId="376EFA7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78B08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BC6D1D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6BFC5E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ABD79E3" w14:textId="77777777" w:rsidR="00314DA1" w:rsidRPr="003B0450" w:rsidRDefault="00314DA1" w:rsidP="00E44A0E">
            <w:pPr>
              <w:spacing w:line="240" w:lineRule="auto"/>
              <w:rPr>
                <w:sz w:val="22"/>
                <w:szCs w:val="22"/>
              </w:rPr>
            </w:pPr>
          </w:p>
          <w:p w14:paraId="31F9EE3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41A94" w14:textId="77777777" w:rsidR="00314DA1" w:rsidRPr="003B0450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0F337F7" w14:textId="5F5F87C7" w:rsidR="00314DA1" w:rsidRDefault="00190CE5" w:rsidP="00320039">
            <w:pPr>
              <w:pStyle w:val="Corpsdetexte"/>
              <w:rPr>
                <w:iCs/>
                <w:szCs w:val="24"/>
              </w:rPr>
            </w:pPr>
            <w:r>
              <w:rPr>
                <w:iCs/>
                <w:szCs w:val="24"/>
              </w:rPr>
              <w:t>Rappel sur les conditions de légalité de la preuve</w:t>
            </w:r>
          </w:p>
          <w:p w14:paraId="2F272974" w14:textId="77777777" w:rsidR="0029787C" w:rsidRDefault="0029787C" w:rsidP="00320039">
            <w:pPr>
              <w:pStyle w:val="Corpsdetexte"/>
              <w:rPr>
                <w:iCs/>
                <w:szCs w:val="24"/>
              </w:rPr>
            </w:pPr>
          </w:p>
          <w:p w14:paraId="741A1B36" w14:textId="09C62D92" w:rsidR="0029787C" w:rsidRPr="005C3168" w:rsidRDefault="0029787C" w:rsidP="00320039">
            <w:pPr>
              <w:pStyle w:val="Corpsdetexte"/>
              <w:rPr>
                <w:iCs/>
                <w:szCs w:val="24"/>
              </w:rPr>
            </w:pPr>
            <w:r>
              <w:rPr>
                <w:iCs/>
                <w:szCs w:val="24"/>
              </w:rPr>
              <w:t>Christophe Vigneau ISST</w:t>
            </w:r>
          </w:p>
          <w:p w14:paraId="2DE83F2C" w14:textId="6EE8D327" w:rsidR="005C3168" w:rsidRPr="005C3168" w:rsidRDefault="005C3168" w:rsidP="00320039">
            <w:pPr>
              <w:pStyle w:val="Corpsdetexte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6E71B" w14:textId="77777777" w:rsidR="00314DA1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A9ADAE5" w14:textId="77777777" w:rsidR="0076403B" w:rsidRDefault="00190CE5" w:rsidP="00190CE5">
            <w:pPr>
              <w:pStyle w:val="Corpsdetex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preuve illicite mais recevable.</w:t>
            </w:r>
          </w:p>
          <w:p w14:paraId="1AF1843E" w14:textId="77777777" w:rsidR="00190CE5" w:rsidRDefault="00190CE5" w:rsidP="00190CE5">
            <w:pPr>
              <w:pStyle w:val="Corpsdetex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Jusqu’où ?</w:t>
            </w:r>
          </w:p>
          <w:p w14:paraId="2BB82ECC" w14:textId="77777777" w:rsidR="007F6633" w:rsidRDefault="007F6633" w:rsidP="00190CE5">
            <w:pPr>
              <w:pStyle w:val="Corpsdetexte"/>
              <w:rPr>
                <w:sz w:val="22"/>
                <w:szCs w:val="22"/>
              </w:rPr>
            </w:pPr>
          </w:p>
          <w:p w14:paraId="4162A859" w14:textId="77777777" w:rsidR="007F6633" w:rsidRDefault="007F6633" w:rsidP="00190CE5">
            <w:pPr>
              <w:pStyle w:val="Corpsdetex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Pasquier</w:t>
            </w:r>
          </w:p>
          <w:p w14:paraId="6C2348AC" w14:textId="1D8839D0" w:rsidR="007F6633" w:rsidRPr="003B0450" w:rsidRDefault="007F6633" w:rsidP="00190CE5">
            <w:pPr>
              <w:pStyle w:val="Corpsdetex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Professeur à l’Université Paris Ouest Nanterre</w:t>
            </w:r>
          </w:p>
        </w:tc>
      </w:tr>
      <w:tr w:rsidR="00314DA1" w:rsidRPr="003B0450" w14:paraId="1A80C436" w14:textId="20A7EA45" w:rsidTr="00314DA1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BABEF" w14:textId="437D4AA8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12 h 30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FE5D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30F3D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14DA1" w:rsidRPr="003B0450" w14:paraId="77188A98" w14:textId="0FFC7D84" w:rsidTr="00314DA1">
        <w:trPr>
          <w:trHeight w:val="65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413EC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14h</w:t>
            </w:r>
          </w:p>
          <w:p w14:paraId="26AD29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C1B8C5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7E30F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CD419DF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FF166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AEB1C87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8B24B1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17 h 30</w:t>
            </w:r>
          </w:p>
          <w:p w14:paraId="4AF6DE42" w14:textId="77777777" w:rsidR="00314DA1" w:rsidRPr="003B0450" w:rsidRDefault="00314DA1" w:rsidP="00593E3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CCF89" w14:textId="3B666BE9" w:rsidR="00320039" w:rsidRDefault="00320039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221B403A" w14:textId="77777777" w:rsidR="00A46EAF" w:rsidRDefault="0029787C" w:rsidP="00190CE5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Echanges autour de la portée des décisions dans le contentieux prud’homal</w:t>
            </w:r>
          </w:p>
          <w:p w14:paraId="45D44FFA" w14:textId="77777777" w:rsidR="0029787C" w:rsidRDefault="0029787C" w:rsidP="00190CE5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</w:p>
          <w:p w14:paraId="0A4F48AA" w14:textId="77777777" w:rsidR="0029787C" w:rsidRDefault="0029787C" w:rsidP="00190CE5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Maître Jonathan Cadot</w:t>
            </w:r>
          </w:p>
          <w:p w14:paraId="244A2BD9" w14:textId="6A508F1F" w:rsidR="0029787C" w:rsidRPr="00D837F9" w:rsidRDefault="0029787C" w:rsidP="00190CE5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Avocat au Barreau de Paris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20789" w14:textId="77777777" w:rsidR="00314DA1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467E913" w14:textId="593336B8" w:rsidR="00314DA1" w:rsidRPr="003B0450" w:rsidRDefault="00314DA1" w:rsidP="00320039">
            <w:pPr>
              <w:pStyle w:val="Corpsdetexte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09783E" w14:textId="0D0A2EB6" w:rsidR="003B0450" w:rsidRDefault="003B0450" w:rsidP="000D691A">
      <w:r>
        <w:t xml:space="preserve">La session de formation s’adresse aux </w:t>
      </w:r>
      <w:r w:rsidR="00314DA1">
        <w:t>membres du service juridique des fédérations et de la confédération CFDT.</w:t>
      </w:r>
      <w:r w:rsidR="000D691A">
        <w:t xml:space="preserve"> </w:t>
      </w:r>
    </w:p>
    <w:p w14:paraId="53772C68" w14:textId="4CEF4E63" w:rsidR="00314DA1" w:rsidRDefault="000D691A" w:rsidP="000D691A">
      <w:r>
        <w:t xml:space="preserve">La </w:t>
      </w:r>
      <w:r w:rsidR="00314DA1">
        <w:t>session de formation</w:t>
      </w:r>
      <w:r w:rsidR="00767484">
        <w:t xml:space="preserve"> a </w:t>
      </w:r>
      <w:r w:rsidR="0006389D">
        <w:t xml:space="preserve">notamment </w:t>
      </w:r>
      <w:r w:rsidR="00767484">
        <w:t xml:space="preserve">pour objet </w:t>
      </w:r>
      <w:r w:rsidR="00854D19">
        <w:t>d’analyser la portée des arrêts d’Assemblée plénière du 22 décembre 2023 en matière de licéité de la preuve</w:t>
      </w:r>
      <w:r w:rsidR="00966F32">
        <w:t>.</w:t>
      </w:r>
      <w:r w:rsidR="00854D19">
        <w:t xml:space="preserve"> La portée théorique mais aussi pratique de ces décisions sera notamment questionnée.</w:t>
      </w:r>
      <w:r w:rsidR="00476DAE">
        <w:t xml:space="preserve"> </w:t>
      </w:r>
    </w:p>
    <w:sectPr w:rsidR="00314DA1" w:rsidSect="004E63E3">
      <w:footerReference w:type="even" r:id="rId8"/>
      <w:footerReference w:type="default" r:id="rId9"/>
      <w:pgSz w:w="16838" w:h="11899" w:orient="landscape"/>
      <w:pgMar w:top="851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5267" w14:textId="77777777" w:rsidR="00D73447" w:rsidRDefault="00D73447" w:rsidP="00DF46F9">
      <w:pPr>
        <w:spacing w:line="240" w:lineRule="auto"/>
      </w:pPr>
      <w:r>
        <w:separator/>
      </w:r>
    </w:p>
  </w:endnote>
  <w:endnote w:type="continuationSeparator" w:id="0">
    <w:p w14:paraId="103666ED" w14:textId="77777777" w:rsidR="00D73447" w:rsidRDefault="00D73447" w:rsidP="00DF4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DF98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BDC301" w14:textId="77777777" w:rsidR="00DF46F9" w:rsidRDefault="00DF46F9" w:rsidP="00DF4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F095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12A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E33ECD" w14:textId="77777777" w:rsidR="00DF46F9" w:rsidRDefault="00DF46F9" w:rsidP="00DF46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A0E42" w14:textId="77777777" w:rsidR="00D73447" w:rsidRDefault="00D73447" w:rsidP="00DF46F9">
      <w:pPr>
        <w:spacing w:line="240" w:lineRule="auto"/>
      </w:pPr>
      <w:r>
        <w:separator/>
      </w:r>
    </w:p>
  </w:footnote>
  <w:footnote w:type="continuationSeparator" w:id="0">
    <w:p w14:paraId="10885789" w14:textId="77777777" w:rsidR="00D73447" w:rsidRDefault="00D73447" w:rsidP="00DF4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E9D"/>
    <w:multiLevelType w:val="hybridMultilevel"/>
    <w:tmpl w:val="3FD4F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440"/>
    <w:multiLevelType w:val="hybridMultilevel"/>
    <w:tmpl w:val="7E0C12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934"/>
    <w:multiLevelType w:val="hybridMultilevel"/>
    <w:tmpl w:val="2A86B6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3B8B"/>
    <w:multiLevelType w:val="hybridMultilevel"/>
    <w:tmpl w:val="5428FD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010"/>
    <w:multiLevelType w:val="hybridMultilevel"/>
    <w:tmpl w:val="EB78FE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2DC"/>
    <w:multiLevelType w:val="hybridMultilevel"/>
    <w:tmpl w:val="1218913C"/>
    <w:lvl w:ilvl="0" w:tplc="9CD28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06678">
    <w:abstractNumId w:val="3"/>
  </w:num>
  <w:num w:numId="2" w16cid:durableId="955067503">
    <w:abstractNumId w:val="4"/>
  </w:num>
  <w:num w:numId="3" w16cid:durableId="1484271075">
    <w:abstractNumId w:val="1"/>
  </w:num>
  <w:num w:numId="4" w16cid:durableId="529495055">
    <w:abstractNumId w:val="0"/>
  </w:num>
  <w:num w:numId="5" w16cid:durableId="752513279">
    <w:abstractNumId w:val="2"/>
  </w:num>
  <w:num w:numId="6" w16cid:durableId="166913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73F6FC0-A66C-4D99-87F8-F9CDF92B4A21}"/>
    <w:docVar w:name="dgnword-eventsink" w:val="2556796291504"/>
  </w:docVars>
  <w:rsids>
    <w:rsidRoot w:val="00284918"/>
    <w:rsid w:val="000164C2"/>
    <w:rsid w:val="0004799C"/>
    <w:rsid w:val="0006389D"/>
    <w:rsid w:val="00071A34"/>
    <w:rsid w:val="00074647"/>
    <w:rsid w:val="00077D8E"/>
    <w:rsid w:val="000807C2"/>
    <w:rsid w:val="00085142"/>
    <w:rsid w:val="0009297B"/>
    <w:rsid w:val="000B547B"/>
    <w:rsid w:val="000B5C1B"/>
    <w:rsid w:val="000D691A"/>
    <w:rsid w:val="000E2A95"/>
    <w:rsid w:val="001053EA"/>
    <w:rsid w:val="00107209"/>
    <w:rsid w:val="001136CA"/>
    <w:rsid w:val="00115377"/>
    <w:rsid w:val="00152BBF"/>
    <w:rsid w:val="00176E91"/>
    <w:rsid w:val="00181231"/>
    <w:rsid w:val="001904F1"/>
    <w:rsid w:val="00190CE5"/>
    <w:rsid w:val="001B40CF"/>
    <w:rsid w:val="001C0F8F"/>
    <w:rsid w:val="001E0893"/>
    <w:rsid w:val="001E48F6"/>
    <w:rsid w:val="001E7913"/>
    <w:rsid w:val="001F1DCF"/>
    <w:rsid w:val="001F25E3"/>
    <w:rsid w:val="001F727F"/>
    <w:rsid w:val="002137E5"/>
    <w:rsid w:val="00221EEE"/>
    <w:rsid w:val="002418C9"/>
    <w:rsid w:val="00284918"/>
    <w:rsid w:val="00295E77"/>
    <w:rsid w:val="0029787C"/>
    <w:rsid w:val="002B385B"/>
    <w:rsid w:val="002C6362"/>
    <w:rsid w:val="002F7FE3"/>
    <w:rsid w:val="00312ED7"/>
    <w:rsid w:val="00314DA1"/>
    <w:rsid w:val="00320039"/>
    <w:rsid w:val="0033529F"/>
    <w:rsid w:val="00340BB3"/>
    <w:rsid w:val="0035757A"/>
    <w:rsid w:val="003734D8"/>
    <w:rsid w:val="00375FC1"/>
    <w:rsid w:val="003902E6"/>
    <w:rsid w:val="003947CC"/>
    <w:rsid w:val="003A28B2"/>
    <w:rsid w:val="003B0450"/>
    <w:rsid w:val="003C1AB7"/>
    <w:rsid w:val="003C24E9"/>
    <w:rsid w:val="003C5808"/>
    <w:rsid w:val="003C7273"/>
    <w:rsid w:val="003E08F9"/>
    <w:rsid w:val="003E0ABE"/>
    <w:rsid w:val="003E7D24"/>
    <w:rsid w:val="003F2CDD"/>
    <w:rsid w:val="003F4CD1"/>
    <w:rsid w:val="003F5AD1"/>
    <w:rsid w:val="00401744"/>
    <w:rsid w:val="00476DAE"/>
    <w:rsid w:val="0048682A"/>
    <w:rsid w:val="00486E5B"/>
    <w:rsid w:val="0049287F"/>
    <w:rsid w:val="004A1BBC"/>
    <w:rsid w:val="004A4965"/>
    <w:rsid w:val="004B7CCF"/>
    <w:rsid w:val="004E63E3"/>
    <w:rsid w:val="004E6BF2"/>
    <w:rsid w:val="0052700D"/>
    <w:rsid w:val="00532305"/>
    <w:rsid w:val="00534F21"/>
    <w:rsid w:val="00542B04"/>
    <w:rsid w:val="00580D88"/>
    <w:rsid w:val="00584EB0"/>
    <w:rsid w:val="00593E3C"/>
    <w:rsid w:val="005C1B41"/>
    <w:rsid w:val="005C3168"/>
    <w:rsid w:val="005F25CC"/>
    <w:rsid w:val="005F712B"/>
    <w:rsid w:val="00600034"/>
    <w:rsid w:val="0060170C"/>
    <w:rsid w:val="00632D54"/>
    <w:rsid w:val="006458E0"/>
    <w:rsid w:val="00655B2F"/>
    <w:rsid w:val="00662684"/>
    <w:rsid w:val="00665DD8"/>
    <w:rsid w:val="006724DC"/>
    <w:rsid w:val="006767A8"/>
    <w:rsid w:val="006870C2"/>
    <w:rsid w:val="006878BE"/>
    <w:rsid w:val="006922D1"/>
    <w:rsid w:val="006A47D3"/>
    <w:rsid w:val="006B6C71"/>
    <w:rsid w:val="006C154C"/>
    <w:rsid w:val="006C6674"/>
    <w:rsid w:val="006E7AF3"/>
    <w:rsid w:val="006F200D"/>
    <w:rsid w:val="006F314C"/>
    <w:rsid w:val="006F3861"/>
    <w:rsid w:val="00703F8F"/>
    <w:rsid w:val="007052BA"/>
    <w:rsid w:val="00715DC7"/>
    <w:rsid w:val="00725148"/>
    <w:rsid w:val="00743FC0"/>
    <w:rsid w:val="0076403B"/>
    <w:rsid w:val="00767484"/>
    <w:rsid w:val="00793C65"/>
    <w:rsid w:val="007A32A4"/>
    <w:rsid w:val="007A788E"/>
    <w:rsid w:val="007C301B"/>
    <w:rsid w:val="007F6633"/>
    <w:rsid w:val="00817967"/>
    <w:rsid w:val="00836FD9"/>
    <w:rsid w:val="00844102"/>
    <w:rsid w:val="00854D19"/>
    <w:rsid w:val="0088427E"/>
    <w:rsid w:val="008C27B5"/>
    <w:rsid w:val="008E1D83"/>
    <w:rsid w:val="008E675A"/>
    <w:rsid w:val="008F07A4"/>
    <w:rsid w:val="008F144C"/>
    <w:rsid w:val="00903370"/>
    <w:rsid w:val="0092255F"/>
    <w:rsid w:val="00966F32"/>
    <w:rsid w:val="0097114A"/>
    <w:rsid w:val="009716DE"/>
    <w:rsid w:val="00975FCE"/>
    <w:rsid w:val="009854A8"/>
    <w:rsid w:val="009857C1"/>
    <w:rsid w:val="009863E7"/>
    <w:rsid w:val="009D171F"/>
    <w:rsid w:val="009D31E4"/>
    <w:rsid w:val="009D508F"/>
    <w:rsid w:val="009D5CA5"/>
    <w:rsid w:val="009E38D3"/>
    <w:rsid w:val="009E3C67"/>
    <w:rsid w:val="00A04CE4"/>
    <w:rsid w:val="00A11FBB"/>
    <w:rsid w:val="00A46249"/>
    <w:rsid w:val="00A465C3"/>
    <w:rsid w:val="00A46EAF"/>
    <w:rsid w:val="00A53544"/>
    <w:rsid w:val="00A5747D"/>
    <w:rsid w:val="00A65B6D"/>
    <w:rsid w:val="00A70479"/>
    <w:rsid w:val="00A72502"/>
    <w:rsid w:val="00A73926"/>
    <w:rsid w:val="00A8380A"/>
    <w:rsid w:val="00A931FC"/>
    <w:rsid w:val="00AA0B07"/>
    <w:rsid w:val="00AD1189"/>
    <w:rsid w:val="00AD3D63"/>
    <w:rsid w:val="00AD6A6E"/>
    <w:rsid w:val="00AE1A96"/>
    <w:rsid w:val="00AF2089"/>
    <w:rsid w:val="00B13717"/>
    <w:rsid w:val="00B33C6C"/>
    <w:rsid w:val="00B43740"/>
    <w:rsid w:val="00B43C65"/>
    <w:rsid w:val="00B50429"/>
    <w:rsid w:val="00B50F3B"/>
    <w:rsid w:val="00B912E3"/>
    <w:rsid w:val="00B97BF7"/>
    <w:rsid w:val="00BC328A"/>
    <w:rsid w:val="00C047C2"/>
    <w:rsid w:val="00C0660C"/>
    <w:rsid w:val="00C221DC"/>
    <w:rsid w:val="00C24CB9"/>
    <w:rsid w:val="00C62E0C"/>
    <w:rsid w:val="00C659E2"/>
    <w:rsid w:val="00C724F5"/>
    <w:rsid w:val="00C87368"/>
    <w:rsid w:val="00CA7838"/>
    <w:rsid w:val="00CC31F6"/>
    <w:rsid w:val="00CD4E90"/>
    <w:rsid w:val="00CE27FC"/>
    <w:rsid w:val="00D11A8F"/>
    <w:rsid w:val="00D177D0"/>
    <w:rsid w:val="00D3096D"/>
    <w:rsid w:val="00D3260B"/>
    <w:rsid w:val="00D400A4"/>
    <w:rsid w:val="00D45AC8"/>
    <w:rsid w:val="00D73447"/>
    <w:rsid w:val="00D837F9"/>
    <w:rsid w:val="00D9170D"/>
    <w:rsid w:val="00DB0B9A"/>
    <w:rsid w:val="00DC5495"/>
    <w:rsid w:val="00DE0D53"/>
    <w:rsid w:val="00DF46F9"/>
    <w:rsid w:val="00E30132"/>
    <w:rsid w:val="00E318B8"/>
    <w:rsid w:val="00E41353"/>
    <w:rsid w:val="00E4656A"/>
    <w:rsid w:val="00E53564"/>
    <w:rsid w:val="00E709C1"/>
    <w:rsid w:val="00E80539"/>
    <w:rsid w:val="00E96778"/>
    <w:rsid w:val="00EA7D7C"/>
    <w:rsid w:val="00EC2C09"/>
    <w:rsid w:val="00ED12A3"/>
    <w:rsid w:val="00ED74F0"/>
    <w:rsid w:val="00EE2EA1"/>
    <w:rsid w:val="00EE34B0"/>
    <w:rsid w:val="00EF63FA"/>
    <w:rsid w:val="00F2304C"/>
    <w:rsid w:val="00F368ED"/>
    <w:rsid w:val="00F43D5F"/>
    <w:rsid w:val="00F577A6"/>
    <w:rsid w:val="00F67D1D"/>
    <w:rsid w:val="00F72872"/>
    <w:rsid w:val="00F840CE"/>
    <w:rsid w:val="00FB140A"/>
    <w:rsid w:val="00FB30CA"/>
    <w:rsid w:val="00FC0E8A"/>
    <w:rsid w:val="00FC23C1"/>
    <w:rsid w:val="00FC5542"/>
    <w:rsid w:val="00FC7057"/>
    <w:rsid w:val="00FC7352"/>
    <w:rsid w:val="00FC7EE2"/>
    <w:rsid w:val="00FD00CD"/>
    <w:rsid w:val="00FE1668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4D4A9"/>
  <w15:docId w15:val="{791CC04C-F5E6-4696-839B-CBBBA4D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B140A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B140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B140A"/>
    <w:pPr>
      <w:autoSpaceDE w:val="0"/>
      <w:autoSpaceDN w:val="0"/>
      <w:spacing w:line="240" w:lineRule="auto"/>
      <w:jc w:val="center"/>
    </w:pPr>
    <w:rPr>
      <w:rFonts w:ascii="Times" w:hAnsi="Times"/>
    </w:rPr>
  </w:style>
  <w:style w:type="character" w:customStyle="1" w:styleId="CorpsdetexteCar">
    <w:name w:val="Corps de texte Car"/>
    <w:basedOn w:val="Policepardfaut"/>
    <w:link w:val="Corpsdetexte"/>
    <w:rsid w:val="00FB140A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A78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F46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F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46F9"/>
  </w:style>
  <w:style w:type="paragraph" w:styleId="Textedebulles">
    <w:name w:val="Balloon Text"/>
    <w:basedOn w:val="Normal"/>
    <w:link w:val="TextedebullesCar"/>
    <w:uiPriority w:val="99"/>
    <w:semiHidden/>
    <w:unhideWhenUsed/>
    <w:rsid w:val="00CE2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7F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Adeline Gubler</cp:lastModifiedBy>
  <cp:revision>3</cp:revision>
  <cp:lastPrinted>2018-01-30T09:30:00Z</cp:lastPrinted>
  <dcterms:created xsi:type="dcterms:W3CDTF">2024-10-02T08:17:00Z</dcterms:created>
  <dcterms:modified xsi:type="dcterms:W3CDTF">2024-10-02T08:19:00Z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2024-10-02T08:17:39Z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9c894a75-7525-4beb-bb8a-d862d4c364ab</vt:lpwstr>
  </property>
  <property fmtid="{D5CDD505-2E9C-101B-9397-08002B2CF9AE}" pid="8" name="MSIP_Label_d5c20be7-c3a5-46e3-9158-fa8a02ce2395_ContentBits">
    <vt:lpwstr>0</vt:lpwstr>
  </property>
</Properties>
</file>