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29" w:rsidRDefault="00125129" w:rsidP="007E1AF5">
      <w:pPr>
        <w:tabs>
          <w:tab w:val="left" w:pos="4536"/>
        </w:tabs>
        <w:ind w:right="566"/>
        <w:jc w:val="center"/>
      </w:pPr>
      <w:r>
        <w:rPr>
          <w:noProof/>
        </w:rPr>
        <w:drawing>
          <wp:inline distT="0" distB="0" distL="0" distR="0" wp14:anchorId="2B35A24E" wp14:editId="6E6F55FD">
            <wp:extent cx="1387928" cy="779944"/>
            <wp:effectExtent l="0" t="0" r="317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7928" cy="77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49" w:rsidRDefault="00E44549" w:rsidP="00E44549">
      <w:pPr>
        <w:jc w:val="center"/>
        <w:rPr>
          <w:b/>
          <w:sz w:val="28"/>
        </w:rPr>
      </w:pPr>
      <w:r w:rsidRPr="00E44549">
        <w:rPr>
          <w:b/>
          <w:sz w:val="28"/>
        </w:rPr>
        <w:t xml:space="preserve">Stage </w:t>
      </w:r>
      <w:r w:rsidR="00127A2E">
        <w:rPr>
          <w:b/>
          <w:sz w:val="28"/>
        </w:rPr>
        <w:t>conseillers prud’hommes CFE-CGC</w:t>
      </w:r>
    </w:p>
    <w:p w:rsidR="00127A2E" w:rsidRDefault="00127A2E" w:rsidP="00E44549">
      <w:pPr>
        <w:jc w:val="center"/>
        <w:rPr>
          <w:b/>
          <w:sz w:val="28"/>
        </w:rPr>
      </w:pPr>
      <w:r>
        <w:rPr>
          <w:b/>
          <w:sz w:val="28"/>
        </w:rPr>
        <w:t>« </w:t>
      </w:r>
      <w:r w:rsidR="00B22454">
        <w:rPr>
          <w:b/>
          <w:sz w:val="28"/>
        </w:rPr>
        <w:t>La réparation du préjudice lié au licenciement</w:t>
      </w:r>
      <w:r>
        <w:rPr>
          <w:b/>
          <w:sz w:val="28"/>
        </w:rPr>
        <w:t> »</w:t>
      </w:r>
    </w:p>
    <w:p w:rsidR="00125129" w:rsidRPr="00E44549" w:rsidRDefault="00127A2E" w:rsidP="00E44549">
      <w:pPr>
        <w:jc w:val="center"/>
        <w:rPr>
          <w:b/>
          <w:sz w:val="28"/>
        </w:rPr>
      </w:pPr>
      <w:r>
        <w:rPr>
          <w:b/>
          <w:sz w:val="28"/>
        </w:rPr>
        <w:t xml:space="preserve">Lundi </w:t>
      </w:r>
      <w:r w:rsidR="00B22454">
        <w:rPr>
          <w:b/>
          <w:sz w:val="28"/>
        </w:rPr>
        <w:t>13</w:t>
      </w:r>
      <w:r>
        <w:rPr>
          <w:b/>
          <w:sz w:val="28"/>
        </w:rPr>
        <w:t xml:space="preserve"> et mardi </w:t>
      </w:r>
      <w:r w:rsidR="00B22454">
        <w:rPr>
          <w:b/>
          <w:sz w:val="28"/>
        </w:rPr>
        <w:t>14</w:t>
      </w:r>
      <w:r>
        <w:rPr>
          <w:b/>
          <w:sz w:val="28"/>
        </w:rPr>
        <w:t xml:space="preserve"> </w:t>
      </w:r>
      <w:r w:rsidR="00B22454">
        <w:rPr>
          <w:b/>
          <w:sz w:val="28"/>
        </w:rPr>
        <w:t>juin</w:t>
      </w:r>
      <w:r>
        <w:rPr>
          <w:b/>
          <w:sz w:val="28"/>
        </w:rPr>
        <w:t xml:space="preserve"> </w:t>
      </w:r>
      <w:r w:rsidR="00E44549">
        <w:rPr>
          <w:b/>
          <w:sz w:val="28"/>
        </w:rPr>
        <w:t>202</w:t>
      </w:r>
      <w:r w:rsidR="00B22454">
        <w:rPr>
          <w:b/>
          <w:sz w:val="28"/>
        </w:rPr>
        <w:t>2</w:t>
      </w:r>
    </w:p>
    <w:p w:rsidR="00E44549" w:rsidRPr="00E44549" w:rsidRDefault="00E44549" w:rsidP="00E44549">
      <w:pPr>
        <w:ind w:firstLine="0"/>
        <w:jc w:val="center"/>
        <w:rPr>
          <w:sz w:val="24"/>
        </w:rPr>
      </w:pPr>
      <w:r w:rsidRPr="00E44549">
        <w:rPr>
          <w:sz w:val="24"/>
        </w:rPr>
        <w:t>Responsable universitaire</w:t>
      </w:r>
      <w:r w:rsidR="00127A2E">
        <w:rPr>
          <w:sz w:val="24"/>
        </w:rPr>
        <w:t xml:space="preserve"> </w:t>
      </w:r>
      <w:r w:rsidRPr="00E44549">
        <w:rPr>
          <w:sz w:val="24"/>
        </w:rPr>
        <w:t>: Laetitia Driguez (ISST) – Responsable syndical :</w:t>
      </w:r>
      <w:r w:rsidR="00127A2E">
        <w:rPr>
          <w:sz w:val="24"/>
        </w:rPr>
        <w:t xml:space="preserve"> Marc-Antoine </w:t>
      </w:r>
      <w:proofErr w:type="spellStart"/>
      <w:r w:rsidR="00127A2E">
        <w:rPr>
          <w:sz w:val="24"/>
        </w:rPr>
        <w:t>Marcantoni</w:t>
      </w:r>
      <w:proofErr w:type="spellEnd"/>
      <w:r w:rsidR="00127A2E">
        <w:rPr>
          <w:sz w:val="24"/>
        </w:rPr>
        <w:t xml:space="preserve"> (CFE-CGC</w:t>
      </w:r>
      <w:r w:rsidRPr="00E44549">
        <w:rPr>
          <w:sz w:val="24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678"/>
      </w:tblGrid>
      <w:tr w:rsidR="00127A2E" w:rsidTr="007E1AF5">
        <w:trPr>
          <w:jc w:val="center"/>
        </w:trPr>
        <w:tc>
          <w:tcPr>
            <w:tcW w:w="4531" w:type="dxa"/>
          </w:tcPr>
          <w:p w:rsidR="00127A2E" w:rsidRPr="007F2EFF" w:rsidRDefault="00127A2E" w:rsidP="007F2EFF">
            <w:pPr>
              <w:ind w:right="-65" w:firstLine="0"/>
              <w:jc w:val="center"/>
              <w:rPr>
                <w:b/>
              </w:rPr>
            </w:pPr>
            <w:r w:rsidRPr="007F2EFF">
              <w:rPr>
                <w:b/>
              </w:rPr>
              <w:t xml:space="preserve">Lundi </w:t>
            </w:r>
            <w:r w:rsidR="00B22454" w:rsidRPr="007F2EFF">
              <w:rPr>
                <w:b/>
              </w:rPr>
              <w:t>13 juin</w:t>
            </w:r>
            <w:r w:rsidRPr="007F2EFF">
              <w:rPr>
                <w:b/>
              </w:rPr>
              <w:t xml:space="preserve"> 202</w:t>
            </w:r>
            <w:r w:rsidR="00B22454" w:rsidRPr="007F2EFF">
              <w:rPr>
                <w:b/>
              </w:rPr>
              <w:t>2</w:t>
            </w:r>
          </w:p>
        </w:tc>
        <w:tc>
          <w:tcPr>
            <w:tcW w:w="4678" w:type="dxa"/>
          </w:tcPr>
          <w:p w:rsidR="00127A2E" w:rsidRPr="007F2EFF" w:rsidRDefault="00127A2E" w:rsidP="007F2EFF">
            <w:pPr>
              <w:ind w:left="176" w:right="-65" w:hanging="176"/>
              <w:jc w:val="center"/>
              <w:rPr>
                <w:b/>
              </w:rPr>
            </w:pPr>
            <w:r w:rsidRPr="007F2EFF">
              <w:rPr>
                <w:b/>
              </w:rPr>
              <w:t xml:space="preserve">Mardi </w:t>
            </w:r>
            <w:r w:rsidR="00B22454" w:rsidRPr="007F2EFF">
              <w:rPr>
                <w:b/>
              </w:rPr>
              <w:t>14 juin</w:t>
            </w:r>
            <w:r w:rsidRPr="007F2EFF">
              <w:rPr>
                <w:b/>
              </w:rPr>
              <w:t xml:space="preserve"> 202</w:t>
            </w:r>
            <w:r w:rsidR="00B22454" w:rsidRPr="007F2EFF">
              <w:rPr>
                <w:b/>
              </w:rPr>
              <w:t>2</w:t>
            </w:r>
          </w:p>
        </w:tc>
      </w:tr>
      <w:tr w:rsidR="00127A2E" w:rsidTr="007E1AF5">
        <w:trPr>
          <w:jc w:val="center"/>
        </w:trPr>
        <w:tc>
          <w:tcPr>
            <w:tcW w:w="4531" w:type="dxa"/>
          </w:tcPr>
          <w:p w:rsidR="007F2EFF" w:rsidRDefault="007F2EFF" w:rsidP="007F2EFF">
            <w:pPr>
              <w:ind w:right="-65" w:firstLine="0"/>
              <w:jc w:val="center"/>
            </w:pPr>
          </w:p>
          <w:p w:rsidR="00127A2E" w:rsidRPr="007F2EFF" w:rsidRDefault="00127A2E" w:rsidP="007F2EFF">
            <w:pPr>
              <w:ind w:right="-65" w:firstLine="0"/>
              <w:jc w:val="center"/>
            </w:pPr>
            <w:r w:rsidRPr="007F2EFF">
              <w:t>9h</w:t>
            </w:r>
          </w:p>
          <w:p w:rsidR="00127A2E" w:rsidRPr="007F2EFF" w:rsidRDefault="00127A2E" w:rsidP="007F2EFF">
            <w:pPr>
              <w:ind w:right="-65" w:firstLine="0"/>
              <w:jc w:val="center"/>
            </w:pPr>
            <w:r w:rsidRPr="007F2EFF">
              <w:t>Accueil des stagiaires et présentations</w:t>
            </w:r>
          </w:p>
          <w:p w:rsidR="00127A2E" w:rsidRPr="007F2EFF" w:rsidRDefault="00127A2E" w:rsidP="007F2EFF">
            <w:pPr>
              <w:ind w:left="174" w:right="-65" w:firstLine="32"/>
              <w:jc w:val="center"/>
            </w:pPr>
          </w:p>
          <w:p w:rsidR="00127A2E" w:rsidRPr="007F2EFF" w:rsidRDefault="00127A2E" w:rsidP="007F2EFF">
            <w:pPr>
              <w:ind w:right="-65" w:firstLine="0"/>
              <w:jc w:val="center"/>
            </w:pPr>
            <w:r w:rsidRPr="007F2EFF">
              <w:t>10h</w:t>
            </w:r>
          </w:p>
          <w:p w:rsidR="00127A2E" w:rsidRPr="007F2EFF" w:rsidRDefault="00B22454" w:rsidP="007F2EFF">
            <w:pPr>
              <w:ind w:right="-65" w:firstLine="0"/>
              <w:jc w:val="center"/>
            </w:pPr>
            <w:r w:rsidRPr="007F2EFF">
              <w:t xml:space="preserve">L’indemnisation des licenciements sans cause réelle et sérieuse ou nuls. </w:t>
            </w:r>
          </w:p>
          <w:p w:rsidR="00B22454" w:rsidRPr="007F2EFF" w:rsidRDefault="00B22454" w:rsidP="007F2EFF">
            <w:pPr>
              <w:ind w:right="-65" w:firstLine="0"/>
              <w:jc w:val="center"/>
            </w:pPr>
            <w:r w:rsidRPr="007F2EFF">
              <w:t>Règles en vigueur et premiers bilans</w:t>
            </w:r>
          </w:p>
          <w:p w:rsidR="00127A2E" w:rsidRPr="007F2EFF" w:rsidRDefault="00127A2E" w:rsidP="007F2EFF">
            <w:pPr>
              <w:ind w:right="-65" w:firstLine="0"/>
              <w:jc w:val="center"/>
              <w:rPr>
                <w:i/>
              </w:rPr>
            </w:pPr>
          </w:p>
          <w:p w:rsidR="00127A2E" w:rsidRPr="007F2EFF" w:rsidRDefault="00127A2E" w:rsidP="007F2EFF">
            <w:pPr>
              <w:ind w:right="-65" w:firstLine="0"/>
              <w:jc w:val="center"/>
              <w:rPr>
                <w:i/>
              </w:rPr>
            </w:pPr>
            <w:r w:rsidRPr="007F2EFF">
              <w:rPr>
                <w:i/>
              </w:rPr>
              <w:t>Laetitia Driguez</w:t>
            </w:r>
          </w:p>
          <w:p w:rsidR="00127A2E" w:rsidRPr="007F2EFF" w:rsidRDefault="00127A2E" w:rsidP="007F2EFF">
            <w:pPr>
              <w:ind w:right="-65" w:firstLine="0"/>
              <w:jc w:val="center"/>
              <w:rPr>
                <w:i/>
              </w:rPr>
            </w:pPr>
            <w:r w:rsidRPr="007F2EFF">
              <w:rPr>
                <w:i/>
              </w:rPr>
              <w:t>(ISST)</w:t>
            </w:r>
          </w:p>
          <w:p w:rsidR="00127A2E" w:rsidRPr="007F2EFF" w:rsidRDefault="00127A2E" w:rsidP="007F2EFF">
            <w:pPr>
              <w:ind w:right="-65" w:firstLine="0"/>
              <w:jc w:val="center"/>
            </w:pPr>
          </w:p>
        </w:tc>
        <w:tc>
          <w:tcPr>
            <w:tcW w:w="4678" w:type="dxa"/>
          </w:tcPr>
          <w:p w:rsidR="007F2EFF" w:rsidRDefault="007F2EFF" w:rsidP="007F2EFF">
            <w:pPr>
              <w:ind w:right="-65" w:firstLine="0"/>
              <w:jc w:val="center"/>
            </w:pPr>
          </w:p>
          <w:p w:rsidR="00127A2E" w:rsidRPr="007F2EFF" w:rsidRDefault="00127A2E" w:rsidP="007F2EFF">
            <w:pPr>
              <w:ind w:right="-65" w:firstLine="0"/>
              <w:jc w:val="center"/>
            </w:pPr>
            <w:r w:rsidRPr="007F2EFF">
              <w:t>9h</w:t>
            </w:r>
          </w:p>
          <w:p w:rsidR="003A4198" w:rsidRPr="007F2EFF" w:rsidRDefault="003A4198" w:rsidP="007F2EFF">
            <w:pPr>
              <w:ind w:right="-65" w:firstLine="0"/>
              <w:jc w:val="center"/>
            </w:pPr>
          </w:p>
          <w:p w:rsidR="00D2737E" w:rsidRPr="007F2EFF" w:rsidRDefault="00B22454" w:rsidP="007F2EFF">
            <w:pPr>
              <w:ind w:right="-65" w:firstLine="0"/>
              <w:jc w:val="center"/>
            </w:pPr>
            <w:r w:rsidRPr="007F2EFF">
              <w:t>La réparation du préjudice par le conseiller prud’homme</w:t>
            </w:r>
          </w:p>
          <w:p w:rsidR="00B22454" w:rsidRPr="007F2EFF" w:rsidRDefault="00B22454" w:rsidP="007F2EFF">
            <w:pPr>
              <w:ind w:right="-65" w:firstLine="0"/>
              <w:jc w:val="center"/>
            </w:pPr>
          </w:p>
          <w:p w:rsidR="00B22454" w:rsidRPr="007F2EFF" w:rsidRDefault="00B22454" w:rsidP="007F2EFF">
            <w:pPr>
              <w:ind w:right="-65" w:firstLine="0"/>
              <w:jc w:val="center"/>
            </w:pPr>
            <w:r w:rsidRPr="007F2EFF">
              <w:t>Aspects juridiques et pratiques</w:t>
            </w:r>
          </w:p>
          <w:p w:rsidR="00D2737E" w:rsidRPr="007F2EFF" w:rsidRDefault="00D2737E" w:rsidP="007F2EFF">
            <w:pPr>
              <w:ind w:right="-65" w:firstLine="0"/>
              <w:jc w:val="center"/>
            </w:pPr>
          </w:p>
          <w:p w:rsidR="00127A2E" w:rsidRPr="007F2EFF" w:rsidRDefault="00127A2E" w:rsidP="007F2EFF">
            <w:pPr>
              <w:ind w:right="-65" w:firstLine="0"/>
              <w:jc w:val="center"/>
              <w:rPr>
                <w:i/>
              </w:rPr>
            </w:pPr>
            <w:r w:rsidRPr="007F2EFF">
              <w:rPr>
                <w:i/>
              </w:rPr>
              <w:t>Laetitia Driguez</w:t>
            </w:r>
          </w:p>
          <w:p w:rsidR="00127A2E" w:rsidRPr="007F2EFF" w:rsidRDefault="00127A2E" w:rsidP="007F2EFF">
            <w:pPr>
              <w:ind w:right="-65" w:firstLine="0"/>
              <w:jc w:val="center"/>
              <w:rPr>
                <w:i/>
              </w:rPr>
            </w:pPr>
            <w:r w:rsidRPr="007F2EFF">
              <w:rPr>
                <w:i/>
              </w:rPr>
              <w:t>(ISST)</w:t>
            </w:r>
          </w:p>
        </w:tc>
      </w:tr>
      <w:tr w:rsidR="00127A2E" w:rsidTr="007E1AF5">
        <w:trPr>
          <w:jc w:val="center"/>
        </w:trPr>
        <w:tc>
          <w:tcPr>
            <w:tcW w:w="4531" w:type="dxa"/>
          </w:tcPr>
          <w:p w:rsidR="00127A2E" w:rsidRPr="007F2EFF" w:rsidRDefault="00127A2E" w:rsidP="007F2EFF">
            <w:pPr>
              <w:ind w:right="-65" w:firstLine="0"/>
              <w:jc w:val="center"/>
            </w:pPr>
            <w:r w:rsidRPr="007F2EFF">
              <w:t>14h</w:t>
            </w:r>
          </w:p>
          <w:p w:rsidR="00127A2E" w:rsidRPr="007F2EFF" w:rsidRDefault="00127A2E" w:rsidP="007F2EFF">
            <w:pPr>
              <w:ind w:right="-65" w:firstLine="0"/>
              <w:jc w:val="center"/>
            </w:pPr>
          </w:p>
          <w:p w:rsidR="00127A2E" w:rsidRPr="007F2EFF" w:rsidRDefault="00B22454" w:rsidP="007F2EFF">
            <w:pPr>
              <w:ind w:right="-65" w:firstLine="0"/>
              <w:jc w:val="center"/>
            </w:pPr>
            <w:r w:rsidRPr="007F2EFF">
              <w:t xml:space="preserve">La notion de préjudice réparable en droit civil </w:t>
            </w:r>
          </w:p>
          <w:p w:rsidR="00127A2E" w:rsidRPr="007F2EFF" w:rsidRDefault="00127A2E" w:rsidP="007F2EFF">
            <w:pPr>
              <w:ind w:right="-65" w:firstLine="0"/>
              <w:jc w:val="center"/>
            </w:pPr>
          </w:p>
          <w:p w:rsidR="00127A2E" w:rsidRPr="007F2EFF" w:rsidRDefault="00B22454" w:rsidP="007F2EFF">
            <w:pPr>
              <w:ind w:right="-65" w:firstLine="0"/>
              <w:jc w:val="center"/>
              <w:rPr>
                <w:i/>
              </w:rPr>
            </w:pPr>
            <w:r w:rsidRPr="007F2EFF">
              <w:rPr>
                <w:i/>
              </w:rPr>
              <w:t>Laur</w:t>
            </w:r>
            <w:r w:rsidR="0039243C" w:rsidRPr="007F2EFF">
              <w:rPr>
                <w:i/>
              </w:rPr>
              <w:t>i</w:t>
            </w:r>
            <w:r w:rsidRPr="007F2EFF">
              <w:rPr>
                <w:i/>
              </w:rPr>
              <w:t>e Friant</w:t>
            </w:r>
          </w:p>
          <w:p w:rsidR="00127A2E" w:rsidRPr="007F2EFF" w:rsidRDefault="00127A2E" w:rsidP="007F2EFF">
            <w:pPr>
              <w:ind w:right="-65" w:firstLine="0"/>
              <w:jc w:val="center"/>
              <w:rPr>
                <w:i/>
              </w:rPr>
            </w:pPr>
            <w:r w:rsidRPr="007F2EFF">
              <w:rPr>
                <w:i/>
              </w:rPr>
              <w:t>(</w:t>
            </w:r>
            <w:r w:rsidR="00A10199">
              <w:rPr>
                <w:i/>
              </w:rPr>
              <w:t>Université Paris 1</w:t>
            </w:r>
            <w:r w:rsidRPr="007F2EFF">
              <w:rPr>
                <w:i/>
              </w:rPr>
              <w:t>)</w:t>
            </w:r>
          </w:p>
          <w:p w:rsidR="00127A2E" w:rsidRPr="007F2EFF" w:rsidRDefault="00127A2E" w:rsidP="007F2EFF">
            <w:pPr>
              <w:ind w:right="-65" w:firstLine="0"/>
              <w:jc w:val="center"/>
            </w:pPr>
          </w:p>
          <w:p w:rsidR="009552DB" w:rsidRPr="007F2EFF" w:rsidRDefault="009552DB" w:rsidP="007F2EFF">
            <w:pPr>
              <w:ind w:right="-65" w:firstLine="0"/>
              <w:jc w:val="center"/>
            </w:pPr>
          </w:p>
          <w:p w:rsidR="00127A2E" w:rsidRPr="007F2EFF" w:rsidRDefault="00127A2E" w:rsidP="007F2EFF">
            <w:pPr>
              <w:ind w:right="-65" w:firstLine="0"/>
              <w:jc w:val="center"/>
            </w:pPr>
            <w:r w:rsidRPr="007F2EFF">
              <w:t>Fin 17 h</w:t>
            </w:r>
          </w:p>
          <w:p w:rsidR="00127A2E" w:rsidRPr="007F2EFF" w:rsidRDefault="00127A2E" w:rsidP="007F2EFF">
            <w:pPr>
              <w:ind w:right="-65" w:firstLine="0"/>
              <w:jc w:val="center"/>
            </w:pPr>
          </w:p>
        </w:tc>
        <w:tc>
          <w:tcPr>
            <w:tcW w:w="4678" w:type="dxa"/>
          </w:tcPr>
          <w:p w:rsidR="00127A2E" w:rsidRPr="007F2EFF" w:rsidRDefault="00127A2E" w:rsidP="007F2EFF">
            <w:pPr>
              <w:ind w:right="-65" w:firstLine="0"/>
              <w:jc w:val="center"/>
            </w:pPr>
            <w:r w:rsidRPr="007F2EFF">
              <w:t>14h</w:t>
            </w:r>
          </w:p>
          <w:p w:rsidR="00127A2E" w:rsidRPr="007F2EFF" w:rsidRDefault="00127A2E" w:rsidP="007F2EFF">
            <w:pPr>
              <w:ind w:right="-65" w:firstLine="0"/>
              <w:jc w:val="center"/>
            </w:pPr>
          </w:p>
          <w:p w:rsidR="00127A2E" w:rsidRPr="007F2EFF" w:rsidRDefault="00B22454" w:rsidP="007F2EFF">
            <w:pPr>
              <w:ind w:right="-65" w:firstLine="0"/>
              <w:jc w:val="center"/>
            </w:pPr>
            <w:r w:rsidRPr="007F2EFF">
              <w:t>Travaux de groupes : cas pratiques</w:t>
            </w:r>
          </w:p>
          <w:p w:rsidR="00B22454" w:rsidRPr="007F2EFF" w:rsidRDefault="00B22454" w:rsidP="007F2EFF">
            <w:pPr>
              <w:ind w:right="-65" w:firstLine="0"/>
              <w:jc w:val="center"/>
            </w:pPr>
          </w:p>
          <w:p w:rsidR="009552DB" w:rsidRPr="007F2EFF" w:rsidRDefault="009552DB" w:rsidP="007F2EFF">
            <w:pPr>
              <w:ind w:right="-65" w:firstLine="0"/>
              <w:jc w:val="center"/>
              <w:rPr>
                <w:i/>
              </w:rPr>
            </w:pPr>
            <w:r w:rsidRPr="007F2EFF">
              <w:rPr>
                <w:i/>
              </w:rPr>
              <w:t>Laetitia Driguez</w:t>
            </w:r>
            <w:r w:rsidR="00A10199">
              <w:rPr>
                <w:i/>
              </w:rPr>
              <w:t xml:space="preserve"> (ISST)</w:t>
            </w:r>
          </w:p>
          <w:p w:rsidR="00127A2E" w:rsidRPr="007F2EFF" w:rsidRDefault="00127A2E" w:rsidP="007F2EFF">
            <w:pPr>
              <w:ind w:right="-65" w:firstLine="0"/>
            </w:pPr>
            <w:bookmarkStart w:id="0" w:name="_GoBack"/>
            <w:bookmarkEnd w:id="0"/>
          </w:p>
          <w:p w:rsidR="009552DB" w:rsidRPr="007F2EFF" w:rsidRDefault="009552DB" w:rsidP="007F2EFF">
            <w:pPr>
              <w:ind w:right="-65" w:firstLine="0"/>
              <w:jc w:val="center"/>
            </w:pPr>
            <w:r w:rsidRPr="007F2EFF">
              <w:t>1</w:t>
            </w:r>
            <w:r w:rsidR="00D2737E" w:rsidRPr="007F2EFF">
              <w:t>6</w:t>
            </w:r>
            <w:r w:rsidRPr="007F2EFF">
              <w:t>h</w:t>
            </w:r>
            <w:r w:rsidR="00B22454" w:rsidRPr="007F2EFF">
              <w:t xml:space="preserve">30 </w:t>
            </w:r>
            <w:r w:rsidR="007F2EFF">
              <w:t>– 17h</w:t>
            </w:r>
          </w:p>
          <w:p w:rsidR="009552DB" w:rsidRPr="007F2EFF" w:rsidRDefault="009552DB" w:rsidP="007F2EFF">
            <w:pPr>
              <w:ind w:right="-65" w:firstLine="0"/>
              <w:jc w:val="center"/>
            </w:pPr>
            <w:r w:rsidRPr="007F2EFF">
              <w:t>Bilan du stage</w:t>
            </w:r>
          </w:p>
          <w:p w:rsidR="00127A2E" w:rsidRPr="007F2EFF" w:rsidRDefault="00127A2E" w:rsidP="007F2EFF">
            <w:pPr>
              <w:ind w:right="-65" w:firstLine="0"/>
              <w:jc w:val="center"/>
            </w:pPr>
          </w:p>
        </w:tc>
      </w:tr>
    </w:tbl>
    <w:p w:rsidR="00F27934" w:rsidRDefault="00F27934" w:rsidP="00305DE9">
      <w:pPr>
        <w:tabs>
          <w:tab w:val="left" w:pos="7620"/>
        </w:tabs>
        <w:ind w:firstLine="0"/>
      </w:pPr>
    </w:p>
    <w:p w:rsidR="00B22454" w:rsidRDefault="00266E87" w:rsidP="007E1AF5">
      <w:pPr>
        <w:tabs>
          <w:tab w:val="left" w:pos="7620"/>
        </w:tabs>
        <w:ind w:firstLine="0"/>
        <w:jc w:val="both"/>
      </w:pPr>
      <w:r w:rsidRPr="00266E87">
        <w:rPr>
          <w:b/>
        </w:rPr>
        <w:t>Présentation</w:t>
      </w:r>
      <w:r>
        <w:t xml:space="preserve"> : </w:t>
      </w:r>
      <w:r w:rsidR="004332D3">
        <w:t xml:space="preserve">Cette </w:t>
      </w:r>
      <w:r>
        <w:t xml:space="preserve">formation </w:t>
      </w:r>
      <w:r w:rsidR="004332D3">
        <w:t xml:space="preserve">conçue pour des </w:t>
      </w:r>
      <w:r>
        <w:t xml:space="preserve">conseillers prud’hommes </w:t>
      </w:r>
      <w:r w:rsidR="00B22454">
        <w:t>porte sur la réparation du préjudice résultant d’un licenciement, qu’il soit sans cause réelle et sérieuse ou bien nul</w:t>
      </w:r>
      <w:r>
        <w:t xml:space="preserve">. </w:t>
      </w:r>
      <w:r w:rsidR="007F2EFF">
        <w:t xml:space="preserve">Après le </w:t>
      </w:r>
      <w:r w:rsidR="00B22454">
        <w:t xml:space="preserve">rappel </w:t>
      </w:r>
      <w:r w:rsidR="007F2EFF">
        <w:t xml:space="preserve">nécessaire </w:t>
      </w:r>
      <w:r w:rsidR="00B22454">
        <w:t xml:space="preserve">des règles en vigueur et un exposé des contestations judiciaires du barème, il s’agira d’abord de dresser un premier bilan de l’ordonnance du 22 septembre 2017 qui a profondément réformé les règles d’indemnisation et l’étendue des pouvoirs des juges en la matière. </w:t>
      </w:r>
    </w:p>
    <w:p w:rsidR="00B540DE" w:rsidRDefault="00A23502" w:rsidP="00B540DE">
      <w:pPr>
        <w:tabs>
          <w:tab w:val="left" w:pos="7620"/>
        </w:tabs>
        <w:ind w:firstLine="0"/>
        <w:jc w:val="both"/>
      </w:pPr>
      <w:r>
        <w:t xml:space="preserve">Mais l’objectif du stage va plus loin. </w:t>
      </w:r>
      <w:r w:rsidR="00B22454">
        <w:t xml:space="preserve">Dans le cadre défini par la loi, les conseillers prud’hommes </w:t>
      </w:r>
      <w:r>
        <w:t xml:space="preserve">doivent analyser les demandes de réparation de préjudices </w:t>
      </w:r>
      <w:r w:rsidR="00B540DE">
        <w:t xml:space="preserve">matériels </w:t>
      </w:r>
      <w:r>
        <w:t>ou moraux qui leur sont présentées. La formation proposera ainsi de faire le point sur la notion de préjudice réparable en droit civil pour aider les conseillers à mieux identifier les droits des salariés et mieux cerner les questions à se poser en la matière (nature du préjudice, lien causal</w:t>
      </w:r>
      <w:r w:rsidR="007F2EFF">
        <w:t>, évaluation économique, traduction en dommages et intérêts</w:t>
      </w:r>
      <w:r w:rsidR="007C0A5D">
        <w:t>).</w:t>
      </w:r>
      <w:r w:rsidR="00B540DE">
        <w:t xml:space="preserve"> Enfin, il s’agira de préciser les conditions</w:t>
      </w:r>
      <w:r w:rsidR="007F2EFF">
        <w:t>, de preuve notamment,</w:t>
      </w:r>
      <w:r w:rsidR="00B540DE">
        <w:t xml:space="preserve"> auxquelles le conseiller prud’hommes fera droit à la demande d’indemnisation et la motivation de cette décision</w:t>
      </w:r>
      <w:r w:rsidR="007F2EFF">
        <w:t>.</w:t>
      </w:r>
    </w:p>
    <w:p w:rsidR="00266E87" w:rsidRPr="00125129" w:rsidRDefault="00B540DE" w:rsidP="007E1AF5">
      <w:pPr>
        <w:tabs>
          <w:tab w:val="left" w:pos="7620"/>
        </w:tabs>
        <w:ind w:firstLine="0"/>
        <w:jc w:val="both"/>
      </w:pPr>
      <w:r>
        <w:t>Des cas pratiques, sous forme de travaux de groupes, permettront de s’assurer de la bonne compréhension des points de droit enseignés.</w:t>
      </w:r>
    </w:p>
    <w:sectPr w:rsidR="00266E87" w:rsidRPr="00125129" w:rsidSect="00B7413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B7" w:rsidRDefault="000279B7" w:rsidP="00305DE9">
      <w:pPr>
        <w:spacing w:after="0" w:line="240" w:lineRule="auto"/>
      </w:pPr>
      <w:r>
        <w:separator/>
      </w:r>
    </w:p>
  </w:endnote>
  <w:endnote w:type="continuationSeparator" w:id="0">
    <w:p w:rsidR="000279B7" w:rsidRDefault="000279B7" w:rsidP="0030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B7" w:rsidRDefault="000279B7" w:rsidP="00305DE9">
      <w:pPr>
        <w:spacing w:after="0" w:line="240" w:lineRule="auto"/>
      </w:pPr>
      <w:r>
        <w:separator/>
      </w:r>
    </w:p>
  </w:footnote>
  <w:footnote w:type="continuationSeparator" w:id="0">
    <w:p w:rsidR="000279B7" w:rsidRDefault="000279B7" w:rsidP="0030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29"/>
    <w:rsid w:val="000279B7"/>
    <w:rsid w:val="000612F8"/>
    <w:rsid w:val="00125129"/>
    <w:rsid w:val="00127A2E"/>
    <w:rsid w:val="001808CE"/>
    <w:rsid w:val="00266E87"/>
    <w:rsid w:val="00275A91"/>
    <w:rsid w:val="00305DE9"/>
    <w:rsid w:val="0039243C"/>
    <w:rsid w:val="003A4198"/>
    <w:rsid w:val="00430CC9"/>
    <w:rsid w:val="004332D3"/>
    <w:rsid w:val="0050322C"/>
    <w:rsid w:val="00567266"/>
    <w:rsid w:val="0071756D"/>
    <w:rsid w:val="00761CC3"/>
    <w:rsid w:val="007A300B"/>
    <w:rsid w:val="007C0A5D"/>
    <w:rsid w:val="007E1AF5"/>
    <w:rsid w:val="007F2EFF"/>
    <w:rsid w:val="008A28DC"/>
    <w:rsid w:val="009552DB"/>
    <w:rsid w:val="00A10199"/>
    <w:rsid w:val="00A23502"/>
    <w:rsid w:val="00B22454"/>
    <w:rsid w:val="00B540DE"/>
    <w:rsid w:val="00B7413A"/>
    <w:rsid w:val="00C15464"/>
    <w:rsid w:val="00C81C19"/>
    <w:rsid w:val="00D13055"/>
    <w:rsid w:val="00D2737E"/>
    <w:rsid w:val="00D76C12"/>
    <w:rsid w:val="00DD27D2"/>
    <w:rsid w:val="00E44549"/>
    <w:rsid w:val="00E53B19"/>
    <w:rsid w:val="00F15654"/>
    <w:rsid w:val="00F2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EA8"/>
  <w15:chartTrackingRefBased/>
  <w15:docId w15:val="{74E36198-84AB-43E2-8F28-DF08A59E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66"/>
    <w:pPr>
      <w:ind w:firstLine="567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DE9"/>
    <w:rPr>
      <w:rFonts w:ascii="Garamond" w:hAnsi="Garamond"/>
    </w:rPr>
  </w:style>
  <w:style w:type="paragraph" w:styleId="Pieddepage">
    <w:name w:val="footer"/>
    <w:basedOn w:val="Normal"/>
    <w:link w:val="PieddepageCar"/>
    <w:uiPriority w:val="99"/>
    <w:unhideWhenUsed/>
    <w:rsid w:val="0030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DE9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Driguez</dc:creator>
  <cp:keywords/>
  <dc:description/>
  <cp:lastModifiedBy>Laetitia Driguez</cp:lastModifiedBy>
  <cp:revision>19</cp:revision>
  <dcterms:created xsi:type="dcterms:W3CDTF">2020-12-23T08:04:00Z</dcterms:created>
  <dcterms:modified xsi:type="dcterms:W3CDTF">2022-06-19T20:25:00Z</dcterms:modified>
</cp:coreProperties>
</file>