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537" w:rsidRDefault="00474D91">
      <w:pPr>
        <w:pStyle w:val="Corps"/>
        <w:jc w:val="center"/>
        <w:rPr>
          <w:rFonts w:ascii="Times New Roman" w:eastAsia="Times New Roman" w:hAnsi="Times New Roman" w:cs="Times New Roman"/>
          <w:b/>
          <w:bCs/>
          <w:sz w:val="28"/>
          <w:szCs w:val="28"/>
        </w:rPr>
      </w:pPr>
      <w:bookmarkStart w:id="0" w:name="_GoBack"/>
      <w:bookmarkEnd w:id="0"/>
      <w:r>
        <w:rPr>
          <w:rFonts w:ascii="Times New Roman" w:hAnsi="Times New Roman"/>
          <w:b/>
          <w:bCs/>
          <w:sz w:val="28"/>
          <w:szCs w:val="28"/>
        </w:rPr>
        <w:t xml:space="preserve">Stage FO : </w:t>
      </w:r>
      <w:r w:rsidR="00D40254">
        <w:rPr>
          <w:rFonts w:ascii="Times New Roman" w:hAnsi="Times New Roman"/>
          <w:b/>
          <w:bCs/>
          <w:sz w:val="28"/>
          <w:szCs w:val="28"/>
        </w:rPr>
        <w:t>Actualités juridiques</w:t>
      </w:r>
    </w:p>
    <w:p w:rsidR="003D5537" w:rsidRDefault="008B7058">
      <w:pPr>
        <w:pStyle w:val="Corps"/>
        <w:spacing w:line="280" w:lineRule="atLeast"/>
        <w:jc w:val="center"/>
        <w:rPr>
          <w:rFonts w:ascii="Times New Roman" w:eastAsia="Times New Roman" w:hAnsi="Times New Roman" w:cs="Times New Roman"/>
          <w:b/>
          <w:bCs/>
          <w:sz w:val="28"/>
          <w:szCs w:val="28"/>
        </w:rPr>
      </w:pPr>
      <w:r>
        <w:rPr>
          <w:rFonts w:ascii="Times New Roman" w:hAnsi="Times New Roman"/>
          <w:b/>
          <w:bCs/>
          <w:sz w:val="28"/>
          <w:szCs w:val="28"/>
        </w:rPr>
        <w:t xml:space="preserve">Du </w:t>
      </w:r>
      <w:r w:rsidR="00D40254">
        <w:rPr>
          <w:rFonts w:ascii="Times New Roman" w:hAnsi="Times New Roman"/>
          <w:b/>
          <w:bCs/>
          <w:sz w:val="28"/>
          <w:szCs w:val="28"/>
        </w:rPr>
        <w:t>9</w:t>
      </w:r>
      <w:r>
        <w:rPr>
          <w:rFonts w:ascii="Times New Roman" w:hAnsi="Times New Roman"/>
          <w:b/>
          <w:bCs/>
          <w:sz w:val="28"/>
          <w:szCs w:val="28"/>
        </w:rPr>
        <w:t xml:space="preserve"> au </w:t>
      </w:r>
      <w:r w:rsidR="00D40254">
        <w:rPr>
          <w:rFonts w:ascii="Times New Roman" w:hAnsi="Times New Roman"/>
          <w:b/>
          <w:bCs/>
          <w:sz w:val="28"/>
          <w:szCs w:val="28"/>
        </w:rPr>
        <w:t>13 mai 2022</w:t>
      </w:r>
    </w:p>
    <w:p w:rsidR="003D5537" w:rsidRDefault="003D5537">
      <w:pPr>
        <w:pStyle w:val="Corps"/>
        <w:spacing w:line="280" w:lineRule="atLeast"/>
        <w:jc w:val="center"/>
        <w:rPr>
          <w:rFonts w:ascii="Times New Roman" w:eastAsia="Times New Roman" w:hAnsi="Times New Roman" w:cs="Times New Roman"/>
          <w:b/>
          <w:bCs/>
        </w:rPr>
      </w:pPr>
    </w:p>
    <w:p w:rsidR="003D5537" w:rsidRDefault="00474D91">
      <w:pPr>
        <w:pStyle w:val="Corps"/>
        <w:spacing w:line="280" w:lineRule="atLeast"/>
        <w:jc w:val="center"/>
      </w:pPr>
      <w:r>
        <w:rPr>
          <w:rFonts w:ascii="Times New Roman" w:hAnsi="Times New Roman"/>
        </w:rPr>
        <w:t>Responsables enseignants : Laetitia Driguez</w:t>
      </w:r>
      <w:r w:rsidR="008B7058">
        <w:rPr>
          <w:rFonts w:ascii="Times New Roman" w:hAnsi="Times New Roman"/>
        </w:rPr>
        <w:t xml:space="preserve"> et </w:t>
      </w:r>
      <w:r w:rsidR="00D40254">
        <w:rPr>
          <w:rFonts w:ascii="Times New Roman" w:hAnsi="Times New Roman"/>
        </w:rPr>
        <w:t xml:space="preserve">Christophe Vigneau </w:t>
      </w:r>
      <w:r>
        <w:rPr>
          <w:rFonts w:ascii="Times New Roman" w:hAnsi="Times New Roman"/>
        </w:rPr>
        <w:t>(ISST – Université Paris 1 Panthéon-Sorbonne)</w:t>
      </w:r>
    </w:p>
    <w:p w:rsidR="003D5537" w:rsidRDefault="00474D91">
      <w:pPr>
        <w:pStyle w:val="Corps"/>
        <w:spacing w:line="280" w:lineRule="atLeast"/>
        <w:ind w:left="2832" w:firstLine="708"/>
      </w:pPr>
      <w:r>
        <w:rPr>
          <w:rFonts w:ascii="Times New Roman" w:hAnsi="Times New Roman"/>
        </w:rPr>
        <w:t>Responsable syndical</w:t>
      </w:r>
      <w:r w:rsidR="00D40254">
        <w:rPr>
          <w:rFonts w:ascii="Times New Roman" w:hAnsi="Times New Roman"/>
        </w:rPr>
        <w:t>e</w:t>
      </w:r>
      <w:r>
        <w:rPr>
          <w:rFonts w:ascii="Times New Roman" w:hAnsi="Times New Roman"/>
        </w:rPr>
        <w:t xml:space="preserve"> :  </w:t>
      </w:r>
      <w:r w:rsidR="00D40254">
        <w:rPr>
          <w:rFonts w:ascii="Times New Roman" w:hAnsi="Times New Roman"/>
        </w:rPr>
        <w:t>Ghislaine Ferreira</w:t>
      </w:r>
      <w:r w:rsidR="008B7058">
        <w:rPr>
          <w:rFonts w:ascii="Times New Roman" w:hAnsi="Times New Roman"/>
        </w:rPr>
        <w:t xml:space="preserve"> </w:t>
      </w:r>
      <w:r w:rsidR="008A5E7C">
        <w:rPr>
          <w:rFonts w:ascii="Times New Roman" w:hAnsi="Times New Roman"/>
        </w:rPr>
        <w:t>(FO)</w:t>
      </w:r>
    </w:p>
    <w:p w:rsidR="003D5537" w:rsidRDefault="003D5537">
      <w:pPr>
        <w:jc w:val="center"/>
      </w:pPr>
    </w:p>
    <w:p w:rsidR="003D5537" w:rsidRDefault="003D5537">
      <w:pPr>
        <w:jc w:val="center"/>
        <w:rPr>
          <w:b/>
          <w:bCs/>
        </w:rPr>
      </w:pPr>
    </w:p>
    <w:tbl>
      <w:tblPr>
        <w:tblStyle w:val="TableNormal"/>
        <w:tblW w:w="14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top w:w="80" w:type="dxa"/>
          <w:left w:w="75" w:type="dxa"/>
          <w:bottom w:w="80" w:type="dxa"/>
          <w:right w:w="80" w:type="dxa"/>
        </w:tblCellMar>
        <w:tblLook w:val="04A0" w:firstRow="1" w:lastRow="0" w:firstColumn="1" w:lastColumn="0" w:noHBand="0" w:noVBand="1"/>
      </w:tblPr>
      <w:tblGrid>
        <w:gridCol w:w="2828"/>
        <w:gridCol w:w="2822"/>
        <w:gridCol w:w="2829"/>
        <w:gridCol w:w="2836"/>
        <w:gridCol w:w="2829"/>
      </w:tblGrid>
      <w:tr w:rsidR="003D5537" w:rsidTr="00384FF7">
        <w:trPr>
          <w:trHeight w:val="222"/>
          <w:jc w:val="center"/>
        </w:trPr>
        <w:tc>
          <w:tcPr>
            <w:tcW w:w="2828" w:type="dxa"/>
            <w:shd w:val="clear" w:color="auto" w:fill="FFFFFF" w:themeFill="background1"/>
          </w:tcPr>
          <w:p w:rsidR="003D5537" w:rsidRDefault="00474D91">
            <w:pPr>
              <w:jc w:val="center"/>
            </w:pPr>
            <w:r>
              <w:rPr>
                <w:b/>
                <w:bCs/>
              </w:rPr>
              <w:t xml:space="preserve">Lundi </w:t>
            </w:r>
            <w:r w:rsidR="00D40254">
              <w:rPr>
                <w:b/>
                <w:bCs/>
              </w:rPr>
              <w:t>9 mai</w:t>
            </w:r>
          </w:p>
        </w:tc>
        <w:tc>
          <w:tcPr>
            <w:tcW w:w="2822" w:type="dxa"/>
            <w:shd w:val="clear" w:color="auto" w:fill="FFFFFF" w:themeFill="background1"/>
          </w:tcPr>
          <w:p w:rsidR="003D5537" w:rsidRDefault="00474D91">
            <w:pPr>
              <w:jc w:val="center"/>
            </w:pPr>
            <w:r>
              <w:rPr>
                <w:b/>
                <w:bCs/>
              </w:rPr>
              <w:t xml:space="preserve">Mardi </w:t>
            </w:r>
            <w:r w:rsidR="00D40254">
              <w:rPr>
                <w:b/>
                <w:bCs/>
              </w:rPr>
              <w:t>10 mai</w:t>
            </w:r>
          </w:p>
        </w:tc>
        <w:tc>
          <w:tcPr>
            <w:tcW w:w="2829" w:type="dxa"/>
            <w:shd w:val="clear" w:color="auto" w:fill="FFFFFF" w:themeFill="background1"/>
          </w:tcPr>
          <w:p w:rsidR="003D5537" w:rsidRDefault="00474D91">
            <w:pPr>
              <w:jc w:val="center"/>
            </w:pPr>
            <w:r>
              <w:rPr>
                <w:b/>
                <w:bCs/>
              </w:rPr>
              <w:t xml:space="preserve">Mercredi </w:t>
            </w:r>
            <w:r w:rsidR="00D40254">
              <w:rPr>
                <w:b/>
                <w:bCs/>
              </w:rPr>
              <w:t>11 mai</w:t>
            </w:r>
          </w:p>
        </w:tc>
        <w:tc>
          <w:tcPr>
            <w:tcW w:w="2836" w:type="dxa"/>
            <w:shd w:val="clear" w:color="auto" w:fill="FFFFFF" w:themeFill="background1"/>
          </w:tcPr>
          <w:p w:rsidR="003D5537" w:rsidRDefault="00474D91">
            <w:pPr>
              <w:jc w:val="center"/>
            </w:pPr>
            <w:r>
              <w:rPr>
                <w:b/>
                <w:bCs/>
              </w:rPr>
              <w:t xml:space="preserve">Jeudi </w:t>
            </w:r>
            <w:r w:rsidR="00D40254">
              <w:rPr>
                <w:b/>
                <w:bCs/>
              </w:rPr>
              <w:t>12 mai</w:t>
            </w:r>
          </w:p>
        </w:tc>
        <w:tc>
          <w:tcPr>
            <w:tcW w:w="2829" w:type="dxa"/>
            <w:shd w:val="clear" w:color="auto" w:fill="FFFFFF" w:themeFill="background1"/>
          </w:tcPr>
          <w:p w:rsidR="003D5537" w:rsidRDefault="00474D91">
            <w:pPr>
              <w:jc w:val="center"/>
            </w:pPr>
            <w:r>
              <w:rPr>
                <w:b/>
                <w:bCs/>
              </w:rPr>
              <w:t>Vendredi</w:t>
            </w:r>
            <w:r w:rsidR="00D40254">
              <w:rPr>
                <w:b/>
                <w:bCs/>
              </w:rPr>
              <w:t xml:space="preserve"> 13 mai</w:t>
            </w:r>
          </w:p>
        </w:tc>
      </w:tr>
      <w:tr w:rsidR="003D5537" w:rsidTr="00384FF7">
        <w:trPr>
          <w:trHeight w:val="2641"/>
          <w:jc w:val="center"/>
        </w:trPr>
        <w:tc>
          <w:tcPr>
            <w:tcW w:w="2828" w:type="dxa"/>
            <w:shd w:val="clear" w:color="auto" w:fill="FFFFFF" w:themeFill="background1"/>
          </w:tcPr>
          <w:p w:rsidR="003D5537" w:rsidRDefault="003D5537">
            <w:pPr>
              <w:jc w:val="center"/>
            </w:pPr>
          </w:p>
          <w:p w:rsidR="003D5537" w:rsidRDefault="00474D91">
            <w:pPr>
              <w:pStyle w:val="TBpardfaut"/>
              <w:jc w:val="center"/>
              <w:rPr>
                <w:rFonts w:ascii="Times New Roman" w:eastAsia="Times New Roman" w:hAnsi="Times New Roman" w:cs="Times New Roman"/>
                <w:sz w:val="22"/>
                <w:szCs w:val="22"/>
              </w:rPr>
            </w:pPr>
            <w:r>
              <w:rPr>
                <w:rFonts w:ascii="Times New Roman" w:hAnsi="Times New Roman"/>
                <w:sz w:val="20"/>
                <w:szCs w:val="20"/>
              </w:rPr>
              <w:t>9h</w:t>
            </w:r>
          </w:p>
          <w:p w:rsidR="003D5537" w:rsidRDefault="00474D91">
            <w:pPr>
              <w:pStyle w:val="TBpardfaut"/>
              <w:jc w:val="center"/>
            </w:pPr>
            <w:r>
              <w:rPr>
                <w:rFonts w:ascii="Times New Roman" w:hAnsi="Times New Roman"/>
                <w:sz w:val="20"/>
                <w:szCs w:val="20"/>
              </w:rPr>
              <w:t>Accueil et présentation du stage</w:t>
            </w:r>
          </w:p>
          <w:p w:rsidR="003D5537" w:rsidRDefault="003D5537">
            <w:pPr>
              <w:pStyle w:val="TBpardfaut"/>
              <w:jc w:val="center"/>
              <w:rPr>
                <w:rFonts w:ascii="Times New Roman" w:hAnsi="Times New Roman"/>
                <w:sz w:val="20"/>
                <w:szCs w:val="20"/>
              </w:rPr>
            </w:pPr>
          </w:p>
          <w:p w:rsidR="003D5537" w:rsidRDefault="00474D91">
            <w:pPr>
              <w:pStyle w:val="TBpardfaut"/>
              <w:jc w:val="center"/>
              <w:rPr>
                <w:rFonts w:ascii="Times New Roman" w:hAnsi="Times New Roman"/>
                <w:sz w:val="20"/>
                <w:szCs w:val="20"/>
              </w:rPr>
            </w:pPr>
            <w:r>
              <w:rPr>
                <w:rFonts w:ascii="Times New Roman" w:hAnsi="Times New Roman"/>
                <w:sz w:val="20"/>
                <w:szCs w:val="20"/>
              </w:rPr>
              <w:t>10h</w:t>
            </w:r>
            <w:r w:rsidR="008B7058">
              <w:rPr>
                <w:rFonts w:ascii="Times New Roman" w:hAnsi="Times New Roman"/>
                <w:sz w:val="20"/>
                <w:szCs w:val="20"/>
              </w:rPr>
              <w:t>3</w:t>
            </w:r>
            <w:r>
              <w:rPr>
                <w:rFonts w:ascii="Times New Roman" w:hAnsi="Times New Roman"/>
                <w:sz w:val="20"/>
                <w:szCs w:val="20"/>
              </w:rPr>
              <w:t>0</w:t>
            </w:r>
          </w:p>
          <w:p w:rsidR="003D5537" w:rsidRDefault="00D40254" w:rsidP="00D40254">
            <w:pPr>
              <w:pStyle w:val="TBpardfaut"/>
              <w:rPr>
                <w:iCs/>
                <w:sz w:val="20"/>
                <w:szCs w:val="20"/>
              </w:rPr>
            </w:pPr>
            <w:r w:rsidRPr="00D40254">
              <w:rPr>
                <w:iCs/>
                <w:sz w:val="20"/>
                <w:szCs w:val="20"/>
              </w:rPr>
              <w:t>Contrôle des salaries, pouvoir d</w:t>
            </w:r>
            <w:r>
              <w:rPr>
                <w:iCs/>
                <w:sz w:val="20"/>
                <w:szCs w:val="20"/>
              </w:rPr>
              <w:t>isciplinaire et droit de la preuve</w:t>
            </w:r>
          </w:p>
          <w:p w:rsidR="00D40254" w:rsidRPr="00D40254" w:rsidRDefault="00D40254" w:rsidP="00D40254">
            <w:pPr>
              <w:pStyle w:val="TBpardfaut"/>
              <w:rPr>
                <w:iCs/>
                <w:sz w:val="20"/>
                <w:szCs w:val="20"/>
              </w:rPr>
            </w:pPr>
          </w:p>
          <w:p w:rsidR="008B7058" w:rsidRPr="00D40254" w:rsidRDefault="00D40254" w:rsidP="008B7058">
            <w:pPr>
              <w:jc w:val="center"/>
              <w:rPr>
                <w:i/>
                <w:iCs/>
              </w:rPr>
            </w:pPr>
            <w:r w:rsidRPr="00D40254">
              <w:rPr>
                <w:i/>
                <w:iCs/>
              </w:rPr>
              <w:t>Christophe Vigneau</w:t>
            </w:r>
          </w:p>
          <w:p w:rsidR="008B7058" w:rsidRPr="00F97188" w:rsidRDefault="008B7058" w:rsidP="008B7058">
            <w:pPr>
              <w:jc w:val="center"/>
            </w:pPr>
            <w:r w:rsidRPr="00F97188">
              <w:t>ISST -Univ. Paris 1</w:t>
            </w:r>
          </w:p>
          <w:p w:rsidR="003D5537" w:rsidRPr="00F97188" w:rsidRDefault="003D5537">
            <w:pPr>
              <w:pStyle w:val="TBpardfaut"/>
              <w:jc w:val="center"/>
              <w:rPr>
                <w:i/>
                <w:iCs/>
              </w:rPr>
            </w:pPr>
          </w:p>
          <w:p w:rsidR="003D5537" w:rsidRPr="00F97188" w:rsidRDefault="003D5537" w:rsidP="00B6337C">
            <w:pPr>
              <w:pStyle w:val="TBpardfaut"/>
              <w:rPr>
                <w:rFonts w:ascii="Times New Roman" w:hAnsi="Times New Roman"/>
                <w:sz w:val="20"/>
                <w:szCs w:val="20"/>
              </w:rPr>
            </w:pPr>
          </w:p>
        </w:tc>
        <w:tc>
          <w:tcPr>
            <w:tcW w:w="2822" w:type="dxa"/>
            <w:shd w:val="clear" w:color="auto" w:fill="FFFFFF" w:themeFill="background1"/>
          </w:tcPr>
          <w:p w:rsidR="003D5537" w:rsidRPr="00F97188" w:rsidRDefault="003D5537">
            <w:pPr>
              <w:jc w:val="center"/>
            </w:pPr>
          </w:p>
          <w:p w:rsidR="003D5537" w:rsidRDefault="00474D91">
            <w:pPr>
              <w:jc w:val="center"/>
            </w:pPr>
            <w:r>
              <w:t>9h</w:t>
            </w:r>
          </w:p>
          <w:p w:rsidR="008B7058" w:rsidRDefault="008B7058">
            <w:pPr>
              <w:jc w:val="center"/>
            </w:pPr>
          </w:p>
          <w:p w:rsidR="008B7058" w:rsidRPr="00D40254" w:rsidRDefault="00D40254">
            <w:pPr>
              <w:jc w:val="center"/>
              <w:rPr>
                <w:iCs/>
              </w:rPr>
            </w:pPr>
            <w:r w:rsidRPr="00D40254">
              <w:rPr>
                <w:iCs/>
              </w:rPr>
              <w:t>Le harcèlement moral</w:t>
            </w:r>
          </w:p>
          <w:p w:rsidR="00D40254" w:rsidRDefault="00D40254">
            <w:pPr>
              <w:jc w:val="center"/>
              <w:rPr>
                <w:i/>
                <w:iCs/>
              </w:rPr>
            </w:pPr>
          </w:p>
          <w:p w:rsidR="003D5537" w:rsidRDefault="00474D91">
            <w:pPr>
              <w:jc w:val="center"/>
              <w:rPr>
                <w:i/>
                <w:iCs/>
                <w:sz w:val="22"/>
                <w:szCs w:val="22"/>
              </w:rPr>
            </w:pPr>
            <w:r>
              <w:rPr>
                <w:i/>
                <w:iCs/>
              </w:rPr>
              <w:t>Laetitia Driguez</w:t>
            </w:r>
          </w:p>
          <w:p w:rsidR="003D5537" w:rsidRDefault="00474D91">
            <w:pPr>
              <w:jc w:val="center"/>
            </w:pPr>
            <w:r>
              <w:t>ISST -Univ. Paris 1</w:t>
            </w:r>
          </w:p>
          <w:p w:rsidR="003D5537" w:rsidRDefault="003D5537">
            <w:pPr>
              <w:jc w:val="center"/>
              <w:rPr>
                <w:i/>
                <w:iCs/>
              </w:rPr>
            </w:pPr>
          </w:p>
          <w:p w:rsidR="003D5537" w:rsidRDefault="003D5537">
            <w:pPr>
              <w:jc w:val="center"/>
              <w:rPr>
                <w:i/>
                <w:iCs/>
              </w:rPr>
            </w:pPr>
          </w:p>
          <w:p w:rsidR="008B7058" w:rsidRDefault="008B7058">
            <w:pPr>
              <w:pStyle w:val="TBpardfaut"/>
              <w:jc w:val="center"/>
              <w:rPr>
                <w:rFonts w:ascii="Times New Roman" w:hAnsi="Times New Roman"/>
                <w:sz w:val="20"/>
                <w:szCs w:val="20"/>
              </w:rPr>
            </w:pPr>
          </w:p>
          <w:p w:rsidR="003D5537" w:rsidRDefault="003D5537">
            <w:pPr>
              <w:pStyle w:val="TBpardfaut"/>
              <w:jc w:val="center"/>
              <w:rPr>
                <w:rFonts w:ascii="Times New Roman" w:hAnsi="Times New Roman"/>
                <w:sz w:val="20"/>
                <w:szCs w:val="20"/>
              </w:rPr>
            </w:pPr>
          </w:p>
        </w:tc>
        <w:tc>
          <w:tcPr>
            <w:tcW w:w="2829" w:type="dxa"/>
            <w:shd w:val="clear" w:color="auto" w:fill="FFFFFF" w:themeFill="background1"/>
          </w:tcPr>
          <w:p w:rsidR="003D5537" w:rsidRDefault="003D5537">
            <w:pPr>
              <w:jc w:val="center"/>
            </w:pPr>
          </w:p>
          <w:p w:rsidR="003D5537" w:rsidRDefault="00474D91">
            <w:pPr>
              <w:jc w:val="center"/>
            </w:pPr>
            <w:r>
              <w:t>9h</w:t>
            </w:r>
          </w:p>
          <w:p w:rsidR="00D40254" w:rsidRDefault="00D40254" w:rsidP="003C0975">
            <w:pPr>
              <w:jc w:val="center"/>
            </w:pPr>
          </w:p>
          <w:p w:rsidR="00D40254" w:rsidRDefault="00D40254" w:rsidP="003C0975">
            <w:pPr>
              <w:jc w:val="center"/>
            </w:pPr>
            <w:r>
              <w:t>Travaux de groupes</w:t>
            </w:r>
          </w:p>
          <w:p w:rsidR="00D40254" w:rsidRDefault="00D40254" w:rsidP="003C0975">
            <w:pPr>
              <w:jc w:val="center"/>
            </w:pPr>
            <w:r>
              <w:t>Cas pratiques</w:t>
            </w:r>
          </w:p>
          <w:p w:rsidR="00D40254" w:rsidRDefault="00D40254" w:rsidP="003C0975">
            <w:pPr>
              <w:jc w:val="center"/>
            </w:pPr>
          </w:p>
          <w:p w:rsidR="00D40254" w:rsidRDefault="00D40254" w:rsidP="003C0975">
            <w:pPr>
              <w:jc w:val="center"/>
            </w:pPr>
          </w:p>
          <w:p w:rsidR="00D40254" w:rsidRPr="00D40254" w:rsidRDefault="00D40254" w:rsidP="003C0975">
            <w:pPr>
              <w:jc w:val="center"/>
              <w:rPr>
                <w:i/>
              </w:rPr>
            </w:pPr>
            <w:r w:rsidRPr="00D40254">
              <w:rPr>
                <w:i/>
              </w:rPr>
              <w:t>Christophe Vigneau</w:t>
            </w:r>
          </w:p>
          <w:p w:rsidR="00D40254" w:rsidRPr="00D40254" w:rsidRDefault="00D40254" w:rsidP="003C0975">
            <w:pPr>
              <w:jc w:val="center"/>
              <w:rPr>
                <w:i/>
              </w:rPr>
            </w:pPr>
            <w:r w:rsidRPr="00D40254">
              <w:rPr>
                <w:i/>
              </w:rPr>
              <w:t>Laetitia Driguez</w:t>
            </w:r>
          </w:p>
          <w:p w:rsidR="008B7058" w:rsidRDefault="00EB4BD6" w:rsidP="003C0975">
            <w:pPr>
              <w:jc w:val="center"/>
            </w:pPr>
            <w:r>
              <w:t>ISS</w:t>
            </w:r>
            <w:r w:rsidR="008B7058">
              <w:t>T- Univ. Paris 1</w:t>
            </w:r>
          </w:p>
          <w:p w:rsidR="008B7058" w:rsidRDefault="008B7058">
            <w:pPr>
              <w:pStyle w:val="TBpardfaut"/>
              <w:jc w:val="center"/>
              <w:rPr>
                <w:rFonts w:ascii="Times New Roman" w:hAnsi="Times New Roman"/>
                <w:sz w:val="20"/>
                <w:szCs w:val="20"/>
              </w:rPr>
            </w:pPr>
          </w:p>
          <w:p w:rsidR="008B7058" w:rsidRDefault="008B7058" w:rsidP="00B6337C">
            <w:pPr>
              <w:pStyle w:val="TBpardfaut"/>
              <w:rPr>
                <w:rFonts w:ascii="Times New Roman" w:hAnsi="Times New Roman"/>
                <w:sz w:val="20"/>
                <w:szCs w:val="20"/>
              </w:rPr>
            </w:pPr>
          </w:p>
          <w:p w:rsidR="003D5537" w:rsidRDefault="003D5537">
            <w:pPr>
              <w:pStyle w:val="TBpardfaut"/>
              <w:jc w:val="center"/>
              <w:rPr>
                <w:rFonts w:ascii="Times New Roman" w:hAnsi="Times New Roman"/>
                <w:sz w:val="20"/>
                <w:szCs w:val="20"/>
              </w:rPr>
            </w:pPr>
          </w:p>
        </w:tc>
        <w:tc>
          <w:tcPr>
            <w:tcW w:w="2836" w:type="dxa"/>
            <w:shd w:val="clear" w:color="auto" w:fill="FFFFFF" w:themeFill="background1"/>
          </w:tcPr>
          <w:p w:rsidR="003D5537" w:rsidRPr="00CA5455" w:rsidRDefault="003D5537">
            <w:pPr>
              <w:jc w:val="center"/>
              <w:rPr>
                <w:i/>
              </w:rPr>
            </w:pPr>
          </w:p>
          <w:p w:rsidR="003D5537" w:rsidRPr="00CA5455" w:rsidRDefault="00474D91">
            <w:pPr>
              <w:jc w:val="center"/>
            </w:pPr>
            <w:r w:rsidRPr="00CA5455">
              <w:t>9</w:t>
            </w:r>
            <w:r w:rsidR="00D40254" w:rsidRPr="00CA5455">
              <w:t>h</w:t>
            </w:r>
          </w:p>
          <w:p w:rsidR="00384FF7" w:rsidRPr="00CA5455" w:rsidRDefault="00384FF7" w:rsidP="00384FF7">
            <w:pPr>
              <w:jc w:val="center"/>
            </w:pPr>
          </w:p>
          <w:p w:rsidR="00D40254" w:rsidRPr="00CA5455" w:rsidRDefault="00D40254" w:rsidP="00D40254">
            <w:pPr>
              <w:jc w:val="center"/>
            </w:pPr>
            <w:r w:rsidRPr="00CA5455">
              <w:t>L’évaluation des salariés</w:t>
            </w:r>
          </w:p>
          <w:p w:rsidR="003D5537" w:rsidRPr="00CA5455" w:rsidRDefault="00CA5455" w:rsidP="00D40254">
            <w:pPr>
              <w:jc w:val="center"/>
            </w:pPr>
            <w:r w:rsidRPr="00CA5455">
              <w:t>L’a</w:t>
            </w:r>
            <w:r w:rsidR="00D40254" w:rsidRPr="00CA5455">
              <w:t xml:space="preserve">pproche </w:t>
            </w:r>
            <w:r w:rsidRPr="00CA5455">
              <w:t>des sciences de gestion</w:t>
            </w:r>
          </w:p>
          <w:p w:rsidR="00CA5455" w:rsidRPr="00CA5455" w:rsidRDefault="00CA5455" w:rsidP="00D40254">
            <w:pPr>
              <w:jc w:val="center"/>
              <w:rPr>
                <w:i/>
              </w:rPr>
            </w:pPr>
          </w:p>
          <w:p w:rsidR="00CA5455" w:rsidRPr="00CA5455" w:rsidRDefault="00CA5455" w:rsidP="00D40254">
            <w:pPr>
              <w:jc w:val="center"/>
              <w:rPr>
                <w:i/>
              </w:rPr>
            </w:pPr>
            <w:r w:rsidRPr="00CA5455">
              <w:rPr>
                <w:i/>
              </w:rPr>
              <w:t>Emilie Hennequin</w:t>
            </w:r>
          </w:p>
          <w:p w:rsidR="00CA5455" w:rsidRPr="00CA5455" w:rsidRDefault="00CA5455" w:rsidP="00D40254">
            <w:pPr>
              <w:jc w:val="center"/>
            </w:pPr>
            <w:r w:rsidRPr="00CA5455">
              <w:t>Université Paris 1</w:t>
            </w:r>
          </w:p>
          <w:p w:rsidR="00384FF7" w:rsidRPr="00CA5455" w:rsidRDefault="00384FF7">
            <w:pPr>
              <w:pStyle w:val="TBpardfaut"/>
              <w:jc w:val="center"/>
              <w:rPr>
                <w:rFonts w:ascii="Times New Roman" w:hAnsi="Times New Roman"/>
                <w:i/>
                <w:sz w:val="20"/>
                <w:szCs w:val="20"/>
              </w:rPr>
            </w:pPr>
          </w:p>
          <w:p w:rsidR="00D40254" w:rsidRPr="00CA5455" w:rsidRDefault="00D40254">
            <w:pPr>
              <w:pStyle w:val="TBpardfaut"/>
              <w:jc w:val="center"/>
              <w:rPr>
                <w:rFonts w:ascii="Times New Roman" w:hAnsi="Times New Roman"/>
                <w:i/>
                <w:sz w:val="20"/>
                <w:szCs w:val="20"/>
              </w:rPr>
            </w:pPr>
          </w:p>
          <w:p w:rsidR="00D40254" w:rsidRPr="00CA5455" w:rsidRDefault="00D40254">
            <w:pPr>
              <w:pStyle w:val="TBpardfaut"/>
              <w:jc w:val="center"/>
              <w:rPr>
                <w:rFonts w:ascii="Times New Roman" w:hAnsi="Times New Roman"/>
                <w:i/>
                <w:sz w:val="20"/>
                <w:szCs w:val="20"/>
              </w:rPr>
            </w:pPr>
          </w:p>
          <w:p w:rsidR="00384FF7" w:rsidRPr="00CA5455" w:rsidRDefault="00384FF7">
            <w:pPr>
              <w:pStyle w:val="TBpardfaut"/>
              <w:jc w:val="center"/>
              <w:rPr>
                <w:rFonts w:ascii="Times New Roman" w:hAnsi="Times New Roman"/>
                <w:i/>
                <w:sz w:val="20"/>
                <w:szCs w:val="20"/>
              </w:rPr>
            </w:pPr>
          </w:p>
          <w:p w:rsidR="003D5537" w:rsidRPr="00CA5455" w:rsidRDefault="003D5537">
            <w:pPr>
              <w:pStyle w:val="TBpardfaut"/>
              <w:jc w:val="center"/>
              <w:rPr>
                <w:rFonts w:ascii="Times New Roman" w:hAnsi="Times New Roman"/>
                <w:i/>
                <w:sz w:val="20"/>
                <w:szCs w:val="20"/>
              </w:rPr>
            </w:pPr>
          </w:p>
        </w:tc>
        <w:tc>
          <w:tcPr>
            <w:tcW w:w="2829" w:type="dxa"/>
            <w:shd w:val="clear" w:color="auto" w:fill="FFFFFF" w:themeFill="background1"/>
          </w:tcPr>
          <w:p w:rsidR="003D5537" w:rsidRDefault="003D5537">
            <w:pPr>
              <w:jc w:val="center"/>
            </w:pPr>
          </w:p>
          <w:p w:rsidR="00AB7FA7" w:rsidRDefault="00D40254">
            <w:pPr>
              <w:jc w:val="center"/>
            </w:pPr>
            <w:r>
              <w:t>9 h</w:t>
            </w:r>
          </w:p>
          <w:p w:rsidR="00D40254" w:rsidRDefault="00D40254">
            <w:pPr>
              <w:jc w:val="center"/>
            </w:pPr>
          </w:p>
          <w:p w:rsidR="00D40254" w:rsidRDefault="00D40254">
            <w:pPr>
              <w:jc w:val="center"/>
            </w:pPr>
            <w:r>
              <w:t>Actualité du contentieux électoral</w:t>
            </w:r>
          </w:p>
          <w:p w:rsidR="00D40254" w:rsidRDefault="00D40254">
            <w:pPr>
              <w:jc w:val="center"/>
            </w:pPr>
          </w:p>
          <w:p w:rsidR="00D40254" w:rsidRPr="00D40254" w:rsidRDefault="00D40254">
            <w:pPr>
              <w:jc w:val="center"/>
              <w:rPr>
                <w:i/>
              </w:rPr>
            </w:pPr>
            <w:r w:rsidRPr="00D40254">
              <w:rPr>
                <w:i/>
              </w:rPr>
              <w:t>Laetitia Driguez</w:t>
            </w:r>
          </w:p>
          <w:p w:rsidR="00D40254" w:rsidRDefault="00D40254">
            <w:pPr>
              <w:jc w:val="center"/>
            </w:pPr>
            <w:r>
              <w:t>ISST-Univ. Paris I</w:t>
            </w:r>
          </w:p>
          <w:p w:rsidR="00AB7FA7" w:rsidRDefault="00AB7FA7">
            <w:pPr>
              <w:jc w:val="center"/>
            </w:pPr>
          </w:p>
          <w:p w:rsidR="00AB7FA7" w:rsidRDefault="00AB7FA7">
            <w:pPr>
              <w:jc w:val="center"/>
            </w:pPr>
          </w:p>
          <w:p w:rsidR="003D5537" w:rsidRDefault="003D5537">
            <w:pPr>
              <w:pStyle w:val="TBpardfaut"/>
              <w:jc w:val="center"/>
              <w:rPr>
                <w:rFonts w:ascii="Times New Roman" w:hAnsi="Times New Roman"/>
                <w:sz w:val="20"/>
                <w:szCs w:val="20"/>
              </w:rPr>
            </w:pPr>
          </w:p>
        </w:tc>
      </w:tr>
      <w:tr w:rsidR="003D5537" w:rsidTr="00384FF7">
        <w:trPr>
          <w:trHeight w:val="2161"/>
          <w:jc w:val="center"/>
        </w:trPr>
        <w:tc>
          <w:tcPr>
            <w:tcW w:w="2828" w:type="dxa"/>
            <w:shd w:val="clear" w:color="auto" w:fill="FFFFFF" w:themeFill="background1"/>
          </w:tcPr>
          <w:p w:rsidR="003D5537" w:rsidRDefault="003D5537">
            <w:pPr>
              <w:jc w:val="center"/>
            </w:pPr>
          </w:p>
          <w:p w:rsidR="003D5537" w:rsidRDefault="00474D91">
            <w:pPr>
              <w:jc w:val="center"/>
            </w:pPr>
            <w:r>
              <w:t>14h</w:t>
            </w:r>
          </w:p>
          <w:p w:rsidR="00D40254" w:rsidRDefault="00D40254" w:rsidP="00D40254">
            <w:pPr>
              <w:pStyle w:val="TBpardfaut"/>
              <w:rPr>
                <w:iCs/>
                <w:sz w:val="20"/>
                <w:szCs w:val="20"/>
              </w:rPr>
            </w:pPr>
            <w:r w:rsidRPr="00D40254">
              <w:rPr>
                <w:iCs/>
                <w:sz w:val="20"/>
                <w:szCs w:val="20"/>
              </w:rPr>
              <w:t>Contrôle des salaries, pouvoir d</w:t>
            </w:r>
            <w:r>
              <w:rPr>
                <w:iCs/>
                <w:sz w:val="20"/>
                <w:szCs w:val="20"/>
              </w:rPr>
              <w:t>isciplinaire et droit de la preuve</w:t>
            </w:r>
          </w:p>
          <w:p w:rsidR="00D40254" w:rsidRDefault="00D40254" w:rsidP="00D40254">
            <w:pPr>
              <w:pStyle w:val="TBpardfaut"/>
              <w:rPr>
                <w:iCs/>
                <w:sz w:val="20"/>
                <w:szCs w:val="20"/>
              </w:rPr>
            </w:pPr>
          </w:p>
          <w:p w:rsidR="002D52DF" w:rsidRDefault="00D40254">
            <w:pPr>
              <w:jc w:val="center"/>
              <w:rPr>
                <w:i/>
              </w:rPr>
            </w:pPr>
            <w:r>
              <w:rPr>
                <w:i/>
              </w:rPr>
              <w:t>(</w:t>
            </w:r>
            <w:proofErr w:type="gramStart"/>
            <w:r>
              <w:rPr>
                <w:i/>
              </w:rPr>
              <w:t>suite</w:t>
            </w:r>
            <w:proofErr w:type="gramEnd"/>
            <w:r>
              <w:rPr>
                <w:i/>
              </w:rPr>
              <w:t>)</w:t>
            </w:r>
          </w:p>
          <w:p w:rsidR="003D5537" w:rsidRDefault="003D5537">
            <w:pPr>
              <w:jc w:val="center"/>
            </w:pPr>
          </w:p>
          <w:p w:rsidR="003D5537" w:rsidRDefault="003D5537">
            <w:pPr>
              <w:jc w:val="center"/>
            </w:pPr>
          </w:p>
          <w:p w:rsidR="002D52DF" w:rsidRDefault="002D52DF">
            <w:pPr>
              <w:jc w:val="center"/>
            </w:pPr>
          </w:p>
          <w:p w:rsidR="002D52DF" w:rsidRDefault="002D52DF">
            <w:pPr>
              <w:jc w:val="center"/>
            </w:pPr>
          </w:p>
          <w:p w:rsidR="003D5537" w:rsidRDefault="00D40254">
            <w:pPr>
              <w:jc w:val="center"/>
            </w:pPr>
            <w:r>
              <w:t>17 h</w:t>
            </w:r>
          </w:p>
        </w:tc>
        <w:tc>
          <w:tcPr>
            <w:tcW w:w="2822" w:type="dxa"/>
            <w:shd w:val="clear" w:color="auto" w:fill="FFFFFF" w:themeFill="background1"/>
          </w:tcPr>
          <w:p w:rsidR="003D5537" w:rsidRDefault="003D5537">
            <w:pPr>
              <w:jc w:val="center"/>
            </w:pPr>
          </w:p>
          <w:p w:rsidR="003D5537" w:rsidRDefault="00474D91">
            <w:pPr>
              <w:pStyle w:val="TBpardfaut"/>
              <w:spacing w:line="240" w:lineRule="auto"/>
              <w:jc w:val="center"/>
            </w:pPr>
            <w:r>
              <w:rPr>
                <w:rFonts w:ascii="Times New Roman" w:hAnsi="Times New Roman"/>
                <w:sz w:val="20"/>
                <w:szCs w:val="20"/>
              </w:rPr>
              <w:t>14h</w:t>
            </w:r>
          </w:p>
          <w:p w:rsidR="005637F4" w:rsidRDefault="005637F4">
            <w:pPr>
              <w:pStyle w:val="TBpardfaut"/>
              <w:jc w:val="center"/>
              <w:rPr>
                <w:rFonts w:ascii="Times New Roman" w:hAnsi="Times New Roman"/>
                <w:sz w:val="20"/>
                <w:szCs w:val="20"/>
              </w:rPr>
            </w:pPr>
          </w:p>
          <w:p w:rsidR="00E95270" w:rsidRDefault="00D40254">
            <w:pPr>
              <w:pStyle w:val="TBpardfaut"/>
              <w:jc w:val="center"/>
              <w:rPr>
                <w:sz w:val="20"/>
                <w:szCs w:val="20"/>
              </w:rPr>
            </w:pPr>
            <w:r>
              <w:rPr>
                <w:sz w:val="20"/>
                <w:szCs w:val="20"/>
              </w:rPr>
              <w:t>Le harcèlement moral</w:t>
            </w:r>
          </w:p>
          <w:p w:rsidR="00D40254" w:rsidRPr="00E95270" w:rsidRDefault="00D40254">
            <w:pPr>
              <w:pStyle w:val="TBpardfaut"/>
              <w:jc w:val="center"/>
              <w:rPr>
                <w:sz w:val="20"/>
                <w:szCs w:val="20"/>
              </w:rPr>
            </w:pPr>
            <w:r>
              <w:rPr>
                <w:sz w:val="20"/>
                <w:szCs w:val="20"/>
              </w:rPr>
              <w:t>(</w:t>
            </w:r>
            <w:proofErr w:type="gramStart"/>
            <w:r>
              <w:rPr>
                <w:sz w:val="20"/>
                <w:szCs w:val="20"/>
              </w:rPr>
              <w:t>suite</w:t>
            </w:r>
            <w:proofErr w:type="gramEnd"/>
            <w:r>
              <w:rPr>
                <w:sz w:val="20"/>
                <w:szCs w:val="20"/>
              </w:rPr>
              <w:t>)</w:t>
            </w:r>
          </w:p>
          <w:p w:rsidR="002D52DF" w:rsidRPr="00D40254" w:rsidRDefault="002D52DF" w:rsidP="008B7058">
            <w:pPr>
              <w:jc w:val="center"/>
              <w:rPr>
                <w:i/>
                <w:iCs/>
              </w:rPr>
            </w:pPr>
          </w:p>
          <w:p w:rsidR="003D5537" w:rsidRPr="00D40254" w:rsidRDefault="003D5537" w:rsidP="00384FF7">
            <w:pPr>
              <w:pStyle w:val="TBpardfaut"/>
              <w:spacing w:line="240" w:lineRule="auto"/>
              <w:jc w:val="center"/>
              <w:rPr>
                <w:sz w:val="20"/>
                <w:szCs w:val="20"/>
              </w:rPr>
            </w:pPr>
          </w:p>
          <w:p w:rsidR="00D40254" w:rsidRDefault="00D40254" w:rsidP="00384FF7">
            <w:pPr>
              <w:pStyle w:val="TBpardfaut"/>
              <w:spacing w:line="240" w:lineRule="auto"/>
              <w:jc w:val="center"/>
              <w:rPr>
                <w:sz w:val="20"/>
                <w:szCs w:val="20"/>
              </w:rPr>
            </w:pPr>
          </w:p>
          <w:p w:rsidR="00D40254" w:rsidRDefault="00D40254" w:rsidP="00384FF7">
            <w:pPr>
              <w:pStyle w:val="TBpardfaut"/>
              <w:spacing w:line="240" w:lineRule="auto"/>
              <w:jc w:val="center"/>
              <w:rPr>
                <w:sz w:val="20"/>
                <w:szCs w:val="20"/>
              </w:rPr>
            </w:pPr>
          </w:p>
          <w:p w:rsidR="00D40254" w:rsidRPr="00D40254" w:rsidRDefault="00D40254" w:rsidP="00384FF7">
            <w:pPr>
              <w:pStyle w:val="TBpardfaut"/>
              <w:spacing w:line="240" w:lineRule="auto"/>
              <w:jc w:val="center"/>
              <w:rPr>
                <w:sz w:val="20"/>
                <w:szCs w:val="20"/>
              </w:rPr>
            </w:pPr>
          </w:p>
          <w:p w:rsidR="00D40254" w:rsidRDefault="00D40254" w:rsidP="00D40254">
            <w:pPr>
              <w:pStyle w:val="TBpardfaut"/>
              <w:spacing w:line="240" w:lineRule="auto"/>
              <w:jc w:val="center"/>
            </w:pPr>
            <w:r>
              <w:rPr>
                <w:sz w:val="20"/>
                <w:szCs w:val="20"/>
              </w:rPr>
              <w:t>17h</w:t>
            </w:r>
          </w:p>
        </w:tc>
        <w:tc>
          <w:tcPr>
            <w:tcW w:w="2829" w:type="dxa"/>
            <w:shd w:val="clear" w:color="auto" w:fill="FFFFFF" w:themeFill="background1"/>
          </w:tcPr>
          <w:p w:rsidR="003D5537" w:rsidRDefault="003D5537">
            <w:pPr>
              <w:jc w:val="center"/>
            </w:pPr>
          </w:p>
          <w:p w:rsidR="003D5537" w:rsidRDefault="00474D91">
            <w:pPr>
              <w:jc w:val="center"/>
            </w:pPr>
            <w:r>
              <w:t>14h</w:t>
            </w:r>
          </w:p>
          <w:p w:rsidR="003C0975" w:rsidRDefault="003C0975" w:rsidP="00384FF7">
            <w:pPr>
              <w:jc w:val="center"/>
            </w:pPr>
          </w:p>
          <w:p w:rsidR="00384FF7" w:rsidRDefault="00D40254">
            <w:pPr>
              <w:jc w:val="center"/>
            </w:pPr>
            <w:r>
              <w:t>Travaux de groupes</w:t>
            </w:r>
          </w:p>
          <w:p w:rsidR="00D40254" w:rsidRDefault="00CA5455">
            <w:pPr>
              <w:jc w:val="center"/>
            </w:pPr>
            <w:r>
              <w:t>(</w:t>
            </w:r>
            <w:r w:rsidR="00D40254">
              <w:t>Suite</w:t>
            </w:r>
            <w:r>
              <w:t>)</w:t>
            </w:r>
          </w:p>
          <w:p w:rsidR="00D40254" w:rsidRDefault="00D40254">
            <w:pPr>
              <w:jc w:val="center"/>
            </w:pPr>
          </w:p>
          <w:p w:rsidR="00D40254" w:rsidRDefault="00D40254">
            <w:pPr>
              <w:jc w:val="center"/>
            </w:pPr>
          </w:p>
          <w:p w:rsidR="00D40254" w:rsidRDefault="00D40254">
            <w:pPr>
              <w:jc w:val="center"/>
            </w:pPr>
            <w:r>
              <w:t>15h</w:t>
            </w:r>
          </w:p>
          <w:p w:rsidR="00D40254" w:rsidRDefault="00D40254">
            <w:pPr>
              <w:jc w:val="center"/>
            </w:pPr>
            <w:r>
              <w:t>Restitutions</w:t>
            </w:r>
          </w:p>
          <w:p w:rsidR="003D5537" w:rsidRDefault="003D5537" w:rsidP="00384FF7">
            <w:pPr>
              <w:jc w:val="center"/>
            </w:pPr>
          </w:p>
          <w:p w:rsidR="00D40254" w:rsidRDefault="00D40254" w:rsidP="00D40254">
            <w:pPr>
              <w:jc w:val="center"/>
            </w:pPr>
            <w:r>
              <w:t>17 h</w:t>
            </w:r>
          </w:p>
        </w:tc>
        <w:tc>
          <w:tcPr>
            <w:tcW w:w="2836" w:type="dxa"/>
            <w:shd w:val="clear" w:color="auto" w:fill="FFFFFF" w:themeFill="background1"/>
          </w:tcPr>
          <w:p w:rsidR="003D5537" w:rsidRDefault="003D5537">
            <w:pPr>
              <w:jc w:val="center"/>
            </w:pPr>
          </w:p>
          <w:p w:rsidR="003D5537" w:rsidRDefault="00474D91">
            <w:pPr>
              <w:jc w:val="center"/>
            </w:pPr>
            <w:r>
              <w:t>14h</w:t>
            </w:r>
          </w:p>
          <w:p w:rsidR="003D5537" w:rsidRDefault="003D5537" w:rsidP="00B6337C">
            <w:pPr>
              <w:jc w:val="center"/>
            </w:pPr>
          </w:p>
          <w:p w:rsidR="00D40254" w:rsidRDefault="00D40254" w:rsidP="00B6337C">
            <w:pPr>
              <w:jc w:val="center"/>
            </w:pPr>
            <w:r w:rsidRPr="00D40254">
              <w:t>Les règles applicables à l’évaluation des salariés</w:t>
            </w:r>
          </w:p>
          <w:p w:rsidR="00D40254" w:rsidRDefault="00D40254" w:rsidP="00B6337C">
            <w:pPr>
              <w:jc w:val="center"/>
            </w:pPr>
          </w:p>
          <w:p w:rsidR="00D40254" w:rsidRPr="00D40254" w:rsidRDefault="00D40254" w:rsidP="00D40254">
            <w:pPr>
              <w:jc w:val="center"/>
              <w:rPr>
                <w:i/>
                <w:iCs/>
              </w:rPr>
            </w:pPr>
            <w:r w:rsidRPr="00D40254">
              <w:rPr>
                <w:i/>
                <w:iCs/>
              </w:rPr>
              <w:t>Christophe Vigneau</w:t>
            </w:r>
          </w:p>
          <w:p w:rsidR="00D40254" w:rsidRPr="00D40254" w:rsidRDefault="00D40254" w:rsidP="00D40254">
            <w:pPr>
              <w:jc w:val="center"/>
            </w:pPr>
            <w:r w:rsidRPr="00D40254">
              <w:t>ISST -Univ. Paris 1</w:t>
            </w:r>
          </w:p>
          <w:p w:rsidR="00D40254" w:rsidRDefault="00D40254" w:rsidP="00B6337C">
            <w:pPr>
              <w:jc w:val="center"/>
            </w:pPr>
          </w:p>
          <w:p w:rsidR="00D40254" w:rsidRDefault="00D40254" w:rsidP="00B6337C">
            <w:pPr>
              <w:jc w:val="center"/>
            </w:pPr>
          </w:p>
          <w:p w:rsidR="00D40254" w:rsidRPr="00D40254" w:rsidRDefault="00D40254" w:rsidP="00B6337C">
            <w:pPr>
              <w:jc w:val="center"/>
            </w:pPr>
            <w:r>
              <w:t>17h</w:t>
            </w:r>
          </w:p>
        </w:tc>
        <w:tc>
          <w:tcPr>
            <w:tcW w:w="2829" w:type="dxa"/>
            <w:shd w:val="clear" w:color="auto" w:fill="FFFFFF" w:themeFill="background1"/>
          </w:tcPr>
          <w:p w:rsidR="003D5537" w:rsidRPr="008A5E7C" w:rsidRDefault="003D5537" w:rsidP="008A5E7C">
            <w:pPr>
              <w:pStyle w:val="TBpardfaut"/>
              <w:jc w:val="center"/>
              <w:rPr>
                <w:rFonts w:ascii="Times New Roman" w:hAnsi="Times New Roman"/>
                <w:iCs/>
                <w:sz w:val="20"/>
                <w:szCs w:val="20"/>
              </w:rPr>
            </w:pPr>
          </w:p>
          <w:p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14h</w:t>
            </w:r>
          </w:p>
          <w:p w:rsidR="003D5537" w:rsidRPr="008A5E7C" w:rsidRDefault="00474D91" w:rsidP="008A5E7C">
            <w:pPr>
              <w:pStyle w:val="TBpardfaut"/>
              <w:jc w:val="center"/>
              <w:rPr>
                <w:rFonts w:ascii="Times New Roman" w:hAnsi="Times New Roman"/>
                <w:iCs/>
                <w:sz w:val="20"/>
                <w:szCs w:val="20"/>
              </w:rPr>
            </w:pPr>
            <w:r w:rsidRPr="008A5E7C">
              <w:rPr>
                <w:rFonts w:ascii="Times New Roman" w:hAnsi="Times New Roman"/>
                <w:iCs/>
                <w:sz w:val="20"/>
                <w:szCs w:val="20"/>
              </w:rPr>
              <w:t>Bilan du stage</w:t>
            </w:r>
          </w:p>
          <w:p w:rsidR="003D5537" w:rsidRPr="008A5E7C" w:rsidRDefault="003D5537" w:rsidP="008A5E7C">
            <w:pPr>
              <w:pStyle w:val="TBpardfaut"/>
              <w:jc w:val="center"/>
              <w:rPr>
                <w:rFonts w:ascii="Times New Roman" w:hAnsi="Times New Roman"/>
                <w:iCs/>
                <w:sz w:val="20"/>
                <w:szCs w:val="20"/>
              </w:rPr>
            </w:pPr>
          </w:p>
          <w:p w:rsidR="003D5537" w:rsidRPr="008A5E7C" w:rsidRDefault="008A5E7C" w:rsidP="008A5E7C">
            <w:pPr>
              <w:pStyle w:val="TBpardfaut"/>
              <w:jc w:val="center"/>
              <w:rPr>
                <w:rFonts w:ascii="Times New Roman" w:hAnsi="Times New Roman"/>
                <w:i/>
                <w:iCs/>
                <w:sz w:val="20"/>
                <w:szCs w:val="20"/>
              </w:rPr>
            </w:pPr>
            <w:r w:rsidRPr="008A5E7C">
              <w:rPr>
                <w:rFonts w:ascii="Times New Roman" w:hAnsi="Times New Roman"/>
                <w:i/>
                <w:iCs/>
                <w:sz w:val="20"/>
                <w:szCs w:val="20"/>
              </w:rPr>
              <w:t>Laetitia Driguez</w:t>
            </w:r>
            <w:r w:rsidR="00384FF7">
              <w:rPr>
                <w:rFonts w:ascii="Times New Roman" w:hAnsi="Times New Roman"/>
                <w:i/>
                <w:iCs/>
                <w:sz w:val="20"/>
                <w:szCs w:val="20"/>
              </w:rPr>
              <w:t xml:space="preserve"> et</w:t>
            </w:r>
          </w:p>
          <w:p w:rsidR="008A5E7C" w:rsidRDefault="00D40254" w:rsidP="008A5E7C">
            <w:pPr>
              <w:pStyle w:val="TBpardfaut"/>
              <w:jc w:val="center"/>
              <w:rPr>
                <w:rFonts w:ascii="Times New Roman" w:hAnsi="Times New Roman"/>
                <w:i/>
                <w:iCs/>
                <w:sz w:val="20"/>
                <w:szCs w:val="20"/>
              </w:rPr>
            </w:pPr>
            <w:r>
              <w:rPr>
                <w:rFonts w:ascii="Times New Roman" w:hAnsi="Times New Roman"/>
                <w:i/>
                <w:iCs/>
                <w:sz w:val="20"/>
                <w:szCs w:val="20"/>
              </w:rPr>
              <w:t>Christophe Vigneau (ISST)</w:t>
            </w:r>
          </w:p>
          <w:p w:rsidR="00D40254" w:rsidRPr="008A5E7C" w:rsidRDefault="00D40254" w:rsidP="008A5E7C">
            <w:pPr>
              <w:pStyle w:val="TBpardfaut"/>
              <w:jc w:val="center"/>
              <w:rPr>
                <w:rFonts w:ascii="Times New Roman" w:hAnsi="Times New Roman"/>
                <w:i/>
                <w:iCs/>
                <w:sz w:val="20"/>
                <w:szCs w:val="20"/>
              </w:rPr>
            </w:pPr>
            <w:r>
              <w:rPr>
                <w:rFonts w:ascii="Times New Roman" w:hAnsi="Times New Roman"/>
                <w:i/>
                <w:iCs/>
                <w:sz w:val="20"/>
                <w:szCs w:val="20"/>
              </w:rPr>
              <w:t>Ghislaine Ferreira (FO)</w:t>
            </w:r>
          </w:p>
        </w:tc>
      </w:tr>
    </w:tbl>
    <w:p w:rsidR="0063549B" w:rsidRDefault="0063549B" w:rsidP="00384FF7">
      <w:pPr>
        <w:widowControl w:val="0"/>
        <w:jc w:val="center"/>
      </w:pPr>
    </w:p>
    <w:p w:rsidR="003D5537" w:rsidRPr="0063549B" w:rsidRDefault="0063549B" w:rsidP="00384FF7">
      <w:pPr>
        <w:widowControl w:val="0"/>
        <w:jc w:val="center"/>
        <w:rPr>
          <w:b/>
          <w:sz w:val="24"/>
          <w:szCs w:val="24"/>
        </w:rPr>
      </w:pPr>
      <w:r w:rsidRPr="0063549B">
        <w:rPr>
          <w:b/>
          <w:sz w:val="24"/>
          <w:szCs w:val="24"/>
        </w:rPr>
        <w:t>PRESENTATION DU STAGE</w:t>
      </w:r>
    </w:p>
    <w:p w:rsidR="0063549B" w:rsidRDefault="0063549B" w:rsidP="0063549B">
      <w:pPr>
        <w:widowControl w:val="0"/>
        <w:jc w:val="both"/>
      </w:pPr>
    </w:p>
    <w:p w:rsidR="0063549B" w:rsidRDefault="0063549B" w:rsidP="0063549B">
      <w:pPr>
        <w:widowControl w:val="0"/>
        <w:jc w:val="both"/>
        <w:rPr>
          <w:sz w:val="24"/>
          <w:szCs w:val="24"/>
        </w:rPr>
      </w:pPr>
      <w:r w:rsidRPr="0063549B">
        <w:rPr>
          <w:b/>
          <w:sz w:val="24"/>
          <w:szCs w:val="24"/>
        </w:rPr>
        <w:t>Public</w:t>
      </w:r>
      <w:r w:rsidRPr="0063549B">
        <w:rPr>
          <w:sz w:val="24"/>
          <w:szCs w:val="24"/>
        </w:rPr>
        <w:t xml:space="preserve"> : </w:t>
      </w:r>
      <w:r>
        <w:rPr>
          <w:sz w:val="24"/>
          <w:szCs w:val="24"/>
        </w:rPr>
        <w:t>Ce stage s’adresse à des militants syndicaux titulaires de mandats en entreprise, qu’ils soient délégués syndicaux, représentants de section syndicale, élus au CSE ou représentants de proximité. Certains des stagiaires cumulent l’une de ces fonctions avec un mandat de conseiller prud’hommes ou bien exercent des fonctions de défenseur syndical ou de conseiller du salarié. La majorité interviennent dans le secteur privé.</w:t>
      </w:r>
    </w:p>
    <w:p w:rsidR="0063549B" w:rsidRDefault="0063549B" w:rsidP="0063549B">
      <w:pPr>
        <w:widowControl w:val="0"/>
        <w:jc w:val="both"/>
        <w:rPr>
          <w:sz w:val="24"/>
          <w:szCs w:val="24"/>
        </w:rPr>
      </w:pPr>
    </w:p>
    <w:p w:rsidR="006A71E4" w:rsidRDefault="0063549B" w:rsidP="0063549B">
      <w:pPr>
        <w:widowControl w:val="0"/>
        <w:jc w:val="both"/>
        <w:rPr>
          <w:sz w:val="24"/>
          <w:szCs w:val="24"/>
        </w:rPr>
      </w:pPr>
      <w:r w:rsidRPr="0063549B">
        <w:rPr>
          <w:b/>
          <w:sz w:val="24"/>
          <w:szCs w:val="24"/>
        </w:rPr>
        <w:t>Objectifs du stage</w:t>
      </w:r>
      <w:r>
        <w:rPr>
          <w:sz w:val="24"/>
          <w:szCs w:val="24"/>
        </w:rPr>
        <w:t xml:space="preserve"> : La formation </w:t>
      </w:r>
      <w:r w:rsidR="00F97188">
        <w:rPr>
          <w:sz w:val="24"/>
          <w:szCs w:val="24"/>
        </w:rPr>
        <w:t>a pour objectif d’éclairer les stagiaires sur les évolutions récentes significatives du droit du travail dans plusieurs domaines identifiés comme d’intérêt par la confédération FO pour l’exercice des mandats syndicaux.</w:t>
      </w:r>
    </w:p>
    <w:p w:rsidR="00D40254" w:rsidRDefault="00D40254" w:rsidP="0063549B">
      <w:pPr>
        <w:widowControl w:val="0"/>
        <w:jc w:val="both"/>
        <w:rPr>
          <w:sz w:val="24"/>
          <w:szCs w:val="24"/>
        </w:rPr>
      </w:pPr>
    </w:p>
    <w:p w:rsidR="006A71E4" w:rsidRDefault="006A71E4" w:rsidP="0063549B">
      <w:pPr>
        <w:widowControl w:val="0"/>
        <w:jc w:val="both"/>
        <w:rPr>
          <w:sz w:val="24"/>
          <w:szCs w:val="24"/>
        </w:rPr>
      </w:pPr>
      <w:r w:rsidRPr="006A71E4">
        <w:rPr>
          <w:b/>
          <w:sz w:val="24"/>
          <w:szCs w:val="24"/>
        </w:rPr>
        <w:t>Description</w:t>
      </w:r>
      <w:r>
        <w:rPr>
          <w:sz w:val="24"/>
          <w:szCs w:val="24"/>
        </w:rPr>
        <w:t> </w:t>
      </w:r>
      <w:r w:rsidRPr="006A71E4">
        <w:rPr>
          <w:b/>
          <w:sz w:val="24"/>
          <w:szCs w:val="24"/>
        </w:rPr>
        <w:t>du contenu</w:t>
      </w:r>
      <w:r>
        <w:rPr>
          <w:sz w:val="24"/>
          <w:szCs w:val="24"/>
        </w:rPr>
        <w:t xml:space="preserve"> : </w:t>
      </w:r>
    </w:p>
    <w:p w:rsidR="00F97188" w:rsidRDefault="006A71E4" w:rsidP="0063549B">
      <w:pPr>
        <w:widowControl w:val="0"/>
        <w:jc w:val="both"/>
        <w:rPr>
          <w:sz w:val="24"/>
          <w:szCs w:val="24"/>
        </w:rPr>
      </w:pPr>
      <w:r>
        <w:rPr>
          <w:sz w:val="24"/>
          <w:szCs w:val="24"/>
        </w:rPr>
        <w:t xml:space="preserve">- </w:t>
      </w:r>
      <w:r w:rsidR="00F97188">
        <w:rPr>
          <w:sz w:val="24"/>
          <w:szCs w:val="24"/>
        </w:rPr>
        <w:t>un</w:t>
      </w:r>
      <w:r>
        <w:rPr>
          <w:sz w:val="24"/>
          <w:szCs w:val="24"/>
        </w:rPr>
        <w:t xml:space="preserve"> cour</w:t>
      </w:r>
      <w:r w:rsidR="00F97188">
        <w:rPr>
          <w:sz w:val="24"/>
          <w:szCs w:val="24"/>
        </w:rPr>
        <w:t xml:space="preserve">s </w:t>
      </w:r>
      <w:r>
        <w:rPr>
          <w:sz w:val="24"/>
          <w:szCs w:val="24"/>
        </w:rPr>
        <w:t xml:space="preserve">de droit sur </w:t>
      </w:r>
      <w:r w:rsidR="00F97188">
        <w:rPr>
          <w:sz w:val="24"/>
          <w:szCs w:val="24"/>
        </w:rPr>
        <w:t>la légalité et l’encadrement des dispositifs de contrôle de l’activité des salariés, le droit de la preuve et le droit disciplinaires</w:t>
      </w:r>
    </w:p>
    <w:p w:rsidR="00F97188" w:rsidRDefault="00F97188" w:rsidP="0063549B">
      <w:pPr>
        <w:widowControl w:val="0"/>
        <w:jc w:val="both"/>
        <w:rPr>
          <w:sz w:val="24"/>
          <w:szCs w:val="24"/>
        </w:rPr>
      </w:pPr>
      <w:r>
        <w:rPr>
          <w:sz w:val="24"/>
          <w:szCs w:val="24"/>
        </w:rPr>
        <w:t>- un cours de droit sur le harcèlement moral (définition et régime juridique)</w:t>
      </w:r>
    </w:p>
    <w:p w:rsidR="00CA5455" w:rsidRDefault="00F97188" w:rsidP="0063549B">
      <w:pPr>
        <w:widowControl w:val="0"/>
        <w:jc w:val="both"/>
        <w:rPr>
          <w:sz w:val="24"/>
          <w:szCs w:val="24"/>
        </w:rPr>
      </w:pPr>
      <w:r>
        <w:rPr>
          <w:sz w:val="24"/>
          <w:szCs w:val="24"/>
        </w:rPr>
        <w:t>- la thématique de l’évaluation des travailleurs, abordée sous l’angl</w:t>
      </w:r>
      <w:r w:rsidR="00CA5455">
        <w:rPr>
          <w:sz w:val="24"/>
          <w:szCs w:val="24"/>
        </w:rPr>
        <w:t>e des sciences de gestion</w:t>
      </w:r>
      <w:r>
        <w:rPr>
          <w:sz w:val="24"/>
          <w:szCs w:val="24"/>
        </w:rPr>
        <w:t xml:space="preserve"> puis sous l’angle juridique</w:t>
      </w:r>
    </w:p>
    <w:p w:rsidR="00F97188" w:rsidRDefault="00F97188" w:rsidP="0063549B">
      <w:pPr>
        <w:widowControl w:val="0"/>
        <w:jc w:val="both"/>
        <w:rPr>
          <w:sz w:val="24"/>
          <w:szCs w:val="24"/>
        </w:rPr>
      </w:pPr>
      <w:r>
        <w:rPr>
          <w:sz w:val="24"/>
          <w:szCs w:val="24"/>
        </w:rPr>
        <w:t>- un focus sur quelques éléments d’actualité concernant les élections professionnelles, alors que certaines entreprises abordent dans les mois prochains un nouveau cycle électoral.</w:t>
      </w:r>
    </w:p>
    <w:p w:rsidR="00F97188" w:rsidRDefault="00F97188" w:rsidP="0063549B">
      <w:pPr>
        <w:widowControl w:val="0"/>
        <w:jc w:val="both"/>
        <w:rPr>
          <w:sz w:val="24"/>
          <w:szCs w:val="24"/>
        </w:rPr>
      </w:pPr>
      <w:r>
        <w:rPr>
          <w:sz w:val="24"/>
          <w:szCs w:val="24"/>
        </w:rPr>
        <w:t>- en milieu de semaine, un grand cas pratique, travaillé en groupes, donnera la possibilité aux stagiaires d’appliquer les règles et méthodes portées à leur connaissance au cours des deux premières journées et permettra de vérifier la bonne compréhension des différents points.</w:t>
      </w:r>
    </w:p>
    <w:p w:rsidR="006A71E4" w:rsidRDefault="006A71E4" w:rsidP="006A71E4">
      <w:pPr>
        <w:widowControl w:val="0"/>
        <w:jc w:val="both"/>
        <w:rPr>
          <w:sz w:val="24"/>
          <w:szCs w:val="24"/>
        </w:rPr>
      </w:pPr>
    </w:p>
    <w:sectPr w:rsidR="006A71E4">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720" w:footer="720" w:gutter="0"/>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1FB" w:rsidRDefault="00B361FB">
      <w:r>
        <w:separator/>
      </w:r>
    </w:p>
  </w:endnote>
  <w:endnote w:type="continuationSeparator" w:id="0">
    <w:p w:rsidR="00B361FB" w:rsidRDefault="00B3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1FB" w:rsidRDefault="00B361FB">
      <w:r>
        <w:separator/>
      </w:r>
    </w:p>
  </w:footnote>
  <w:footnote w:type="continuationSeparator" w:id="0">
    <w:p w:rsidR="00B361FB" w:rsidRDefault="00B3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537" w:rsidRDefault="008B7058">
    <w:pPr>
      <w:pStyle w:val="En-tte"/>
      <w:jc w:val="center"/>
    </w:pPr>
    <w:r>
      <w:rPr>
        <w:noProof/>
      </w:rPr>
      <w:drawing>
        <wp:inline distT="0" distB="0" distL="0" distR="0">
          <wp:extent cx="1257300" cy="6533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sage interne sans bordure.PNG"/>
                  <pic:cNvPicPr/>
                </pic:nvPicPr>
                <pic:blipFill>
                  <a:blip r:embed="rId1">
                    <a:extLst>
                      <a:ext uri="{28A0092B-C50C-407E-A947-70E740481C1C}">
                        <a14:useLocalDpi xmlns:a14="http://schemas.microsoft.com/office/drawing/2010/main" val="0"/>
                      </a:ext>
                    </a:extLst>
                  </a:blip>
                  <a:stretch>
                    <a:fillRect/>
                  </a:stretch>
                </pic:blipFill>
                <pic:spPr>
                  <a:xfrm>
                    <a:off x="0" y="0"/>
                    <a:ext cx="1286370" cy="6684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F4" w:rsidRDefault="005637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72DAE"/>
    <w:multiLevelType w:val="hybridMultilevel"/>
    <w:tmpl w:val="018EF23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58F3328B"/>
    <w:multiLevelType w:val="hybridMultilevel"/>
    <w:tmpl w:val="F0FA280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37"/>
    <w:rsid w:val="000B26BF"/>
    <w:rsid w:val="00217B45"/>
    <w:rsid w:val="0023102B"/>
    <w:rsid w:val="002C0274"/>
    <w:rsid w:val="002D52DF"/>
    <w:rsid w:val="002F2532"/>
    <w:rsid w:val="00314126"/>
    <w:rsid w:val="00336CDD"/>
    <w:rsid w:val="00384FF7"/>
    <w:rsid w:val="003A730C"/>
    <w:rsid w:val="003C0222"/>
    <w:rsid w:val="003C0975"/>
    <w:rsid w:val="003D5537"/>
    <w:rsid w:val="00474D91"/>
    <w:rsid w:val="005637F4"/>
    <w:rsid w:val="00564789"/>
    <w:rsid w:val="0063549B"/>
    <w:rsid w:val="00654369"/>
    <w:rsid w:val="006872A8"/>
    <w:rsid w:val="006A03A9"/>
    <w:rsid w:val="006A71E4"/>
    <w:rsid w:val="006F3F4F"/>
    <w:rsid w:val="007F0B55"/>
    <w:rsid w:val="00812CB7"/>
    <w:rsid w:val="008374E3"/>
    <w:rsid w:val="008A5E7C"/>
    <w:rsid w:val="008B7058"/>
    <w:rsid w:val="00A4471A"/>
    <w:rsid w:val="00A7258E"/>
    <w:rsid w:val="00AB7FA7"/>
    <w:rsid w:val="00B079C2"/>
    <w:rsid w:val="00B361FB"/>
    <w:rsid w:val="00B6337C"/>
    <w:rsid w:val="00BA561C"/>
    <w:rsid w:val="00C66382"/>
    <w:rsid w:val="00CA5455"/>
    <w:rsid w:val="00D159F6"/>
    <w:rsid w:val="00D40254"/>
    <w:rsid w:val="00D84432"/>
    <w:rsid w:val="00D90F15"/>
    <w:rsid w:val="00E33442"/>
    <w:rsid w:val="00E95270"/>
    <w:rsid w:val="00EB4BD6"/>
    <w:rsid w:val="00F71B2F"/>
    <w:rsid w:val="00F95B8A"/>
    <w:rsid w:val="00F9718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665EA6-4C52-4F35-A99F-C2AF832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TextedebullesCar">
    <w:name w:val="Texte de bulles Car"/>
    <w:basedOn w:val="Policepardfaut"/>
    <w:link w:val="Textedebulles"/>
    <w:uiPriority w:val="99"/>
    <w:semiHidden/>
    <w:qFormat/>
    <w:rsid w:val="00B22334"/>
    <w:rPr>
      <w:rFonts w:ascii="Tahoma" w:hAnsi="Tahoma" w:cs="Tahoma"/>
      <w:color w:val="000000"/>
      <w:sz w:val="16"/>
      <w:szCs w:val="16"/>
      <w:u w:val="none" w:color="000000"/>
    </w:rPr>
  </w:style>
  <w:style w:type="character" w:customStyle="1" w:styleId="PrformatHTMLCar">
    <w:name w:val="Préformaté HTML Car"/>
    <w:basedOn w:val="Policepardfaut"/>
    <w:link w:val="PrformatHTML"/>
    <w:uiPriority w:val="99"/>
    <w:semiHidden/>
    <w:qFormat/>
    <w:rsid w:val="00090371"/>
    <w:rPr>
      <w:rFonts w:ascii="Courier New" w:eastAsia="Times New Roman" w:hAnsi="Courier New" w:cs="Courier New"/>
    </w:rPr>
  </w:style>
  <w:style w:type="character" w:customStyle="1" w:styleId="ListLabel1">
    <w:name w:val="ListLabel 1"/>
    <w:qFormat/>
    <w:rPr>
      <w:rFonts w:eastAsia="Arial Unicode MS" w:cs="Arial Unicode M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pPr>
      <w:tabs>
        <w:tab w:val="right" w:pos="9020"/>
      </w:tabs>
    </w:pPr>
    <w:rPr>
      <w:rFonts w:ascii="Helvetica" w:hAnsi="Helvetica"/>
      <w:sz w:val="24"/>
      <w:szCs w:val="24"/>
    </w:rPr>
  </w:style>
  <w:style w:type="paragraph" w:customStyle="1" w:styleId="Corps">
    <w:name w:val="Corps"/>
    <w:qFormat/>
    <w:pPr>
      <w:widowControl w:val="0"/>
      <w:spacing w:line="240" w:lineRule="atLeast"/>
    </w:pPr>
    <w:rPr>
      <w:rFonts w:ascii="Times" w:eastAsia="Times" w:hAnsi="Times" w:cs="Times"/>
      <w:color w:val="000000"/>
      <w:sz w:val="24"/>
      <w:szCs w:val="24"/>
      <w:u w:color="000000"/>
    </w:rPr>
  </w:style>
  <w:style w:type="paragraph" w:customStyle="1" w:styleId="TBpardfaut">
    <w:name w:val="TB par dªfaut"/>
    <w:qFormat/>
    <w:pPr>
      <w:widowControl w:val="0"/>
      <w:spacing w:line="240" w:lineRule="atLeast"/>
    </w:pPr>
    <w:rPr>
      <w:rFonts w:ascii="Times" w:hAnsi="Times" w:cs="Arial Unicode MS"/>
      <w:color w:val="000000"/>
      <w:sz w:val="24"/>
      <w:szCs w:val="24"/>
      <w:u w:color="000000"/>
    </w:rPr>
  </w:style>
  <w:style w:type="paragraph" w:styleId="Textedebulles">
    <w:name w:val="Balloon Text"/>
    <w:basedOn w:val="Normal"/>
    <w:link w:val="TextedebullesCar"/>
    <w:uiPriority w:val="99"/>
    <w:semiHidden/>
    <w:unhideWhenUsed/>
    <w:qFormat/>
    <w:rsid w:val="00B22334"/>
    <w:rPr>
      <w:rFonts w:ascii="Tahoma" w:hAnsi="Tahoma" w:cs="Tahoma"/>
      <w:sz w:val="16"/>
      <w:szCs w:val="16"/>
    </w:rPr>
  </w:style>
  <w:style w:type="paragraph" w:styleId="PrformatHTML">
    <w:name w:val="HTML Preformatted"/>
    <w:basedOn w:val="Normal"/>
    <w:link w:val="PrformatHTMLCar"/>
    <w:uiPriority w:val="99"/>
    <w:semiHidden/>
    <w:unhideWhenUsed/>
    <w:qFormat/>
    <w:rsid w:val="00090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rPr>
  </w:style>
  <w:style w:type="paragraph" w:styleId="Pieddepage">
    <w:name w:val="footer"/>
    <w:basedOn w:val="Normal"/>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A44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2320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Adeline Gubler</cp:lastModifiedBy>
  <cp:revision>2</cp:revision>
  <dcterms:created xsi:type="dcterms:W3CDTF">2022-03-16T09:27:00Z</dcterms:created>
  <dcterms:modified xsi:type="dcterms:W3CDTF">2022-03-16T09:27:00Z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